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15" w:rsidRDefault="00791FD5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715" w:rsidRDefault="00791FD5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F41715" w:rsidRDefault="00791FD5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F41715" w:rsidRDefault="00791FD5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16 травня 2025 р. N 575</w:t>
      </w:r>
    </w:p>
    <w:p w:rsidR="00F41715" w:rsidRDefault="00791FD5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F41715" w:rsidRDefault="00791FD5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Порядку використання коштів, передбачених у державному бюджеті для здійснення заходів із вселення водних біоресурсів у рибогосподарські водні об'єкти (їх частини)</w:t>
      </w:r>
    </w:p>
    <w:p w:rsidR="00F41715" w:rsidRDefault="00791FD5">
      <w:pPr>
        <w:spacing w:after="75"/>
        <w:jc w:val="center"/>
      </w:pPr>
      <w:bookmarkStart w:id="6" w:name="42"/>
      <w:bookmarkEnd w:id="5"/>
      <w:r>
        <w:rPr>
          <w:rFonts w:ascii="Arial" w:hAnsi="Arial"/>
          <w:color w:val="293A55"/>
          <w:sz w:val="18"/>
        </w:rPr>
        <w:t xml:space="preserve">Із </w:t>
      </w:r>
      <w:r>
        <w:rPr>
          <w:rFonts w:ascii="Arial" w:hAnsi="Arial"/>
          <w:color w:val="293A55"/>
          <w:sz w:val="18"/>
        </w:rPr>
        <w:t>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10 грудня 2025 року N 1653,</w:t>
      </w:r>
      <w:r>
        <w:br/>
      </w:r>
      <w:r>
        <w:rPr>
          <w:rFonts w:ascii="Arial" w:hAnsi="Arial"/>
          <w:color w:val="293A55"/>
          <w:sz w:val="18"/>
        </w:rPr>
        <w:t>від 6 березня 2026 року N 299</w:t>
      </w:r>
    </w:p>
    <w:p w:rsidR="00F41715" w:rsidRDefault="00791FD5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сьомої статті 20 Бюджетного кодексу України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F41715" w:rsidRDefault="00791FD5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Затвердити Пор</w:t>
      </w:r>
      <w:r>
        <w:rPr>
          <w:rFonts w:ascii="Arial" w:hAnsi="Arial"/>
          <w:color w:val="000000"/>
          <w:sz w:val="18"/>
        </w:rPr>
        <w:t>ядок використання коштів, передбачених у державному бюджеті для здійснення заходів із вселення водних біоресурсів у рибогосподарські водні об'єкти (їх частини), що додається.</w:t>
      </w:r>
    </w:p>
    <w:p w:rsidR="00F41715" w:rsidRDefault="00791FD5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F4171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41715" w:rsidRDefault="00791FD5">
            <w:pPr>
              <w:spacing w:after="75"/>
              <w:jc w:val="center"/>
            </w:pPr>
            <w:bookmarkStart w:id="10" w:name="10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F41715" w:rsidRDefault="00791FD5">
            <w:pPr>
              <w:spacing w:after="75"/>
              <w:jc w:val="center"/>
            </w:pPr>
            <w:bookmarkStart w:id="11" w:name="11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1"/>
      </w:tr>
    </w:tbl>
    <w:p w:rsidR="00F41715" w:rsidRDefault="00791FD5">
      <w:pPr>
        <w:spacing w:after="75"/>
        <w:ind w:firstLine="240"/>
        <w:jc w:val="both"/>
      </w:pPr>
      <w:bookmarkStart w:id="12" w:name="12"/>
      <w:r>
        <w:rPr>
          <w:rFonts w:ascii="Arial" w:hAnsi="Arial"/>
          <w:color w:val="000000"/>
          <w:sz w:val="18"/>
        </w:rPr>
        <w:t>Інд. 75</w:t>
      </w:r>
    </w:p>
    <w:p w:rsidR="00F41715" w:rsidRDefault="00791FD5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 </w:t>
      </w:r>
    </w:p>
    <w:p w:rsidR="00F41715" w:rsidRDefault="00791FD5">
      <w:pPr>
        <w:spacing w:after="75"/>
        <w:ind w:firstLine="240"/>
        <w:jc w:val="right"/>
      </w:pPr>
      <w:bookmarkStart w:id="14" w:name="14"/>
      <w:bookmarkEnd w:id="1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постановою Кабінету </w:t>
      </w:r>
      <w:r>
        <w:rPr>
          <w:rFonts w:ascii="Arial" w:hAnsi="Arial"/>
          <w:color w:val="000000"/>
          <w:sz w:val="18"/>
        </w:rPr>
        <w:t>Міністрів України</w:t>
      </w:r>
      <w:r>
        <w:br/>
      </w:r>
      <w:r>
        <w:rPr>
          <w:rFonts w:ascii="Arial" w:hAnsi="Arial"/>
          <w:color w:val="000000"/>
          <w:sz w:val="18"/>
        </w:rPr>
        <w:t>від 16 травня 2025 р. N 575</w:t>
      </w:r>
    </w:p>
    <w:p w:rsidR="00F41715" w:rsidRDefault="00791FD5">
      <w:pPr>
        <w:pStyle w:val="3"/>
        <w:spacing w:after="225"/>
        <w:jc w:val="center"/>
      </w:pPr>
      <w:bookmarkStart w:id="15" w:name="15"/>
      <w:bookmarkEnd w:id="14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використання коштів, передбачених у державному бюджеті для здійснення заходів із вселення водних біоресурсів у рибогосподарські водні об'єкти (їх частини)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F41715">
        <w:trPr>
          <w:tblCellSpacing w:w="0" w:type="auto"/>
        </w:trPr>
        <w:tc>
          <w:tcPr>
            <w:tcW w:w="9690" w:type="dxa"/>
            <w:vAlign w:val="center"/>
          </w:tcPr>
          <w:p w:rsidR="00F41715" w:rsidRDefault="00791FD5">
            <w:pPr>
              <w:spacing w:after="75"/>
              <w:jc w:val="both"/>
            </w:pPr>
            <w:bookmarkStart w:id="16" w:name="41"/>
            <w:bookmarkEnd w:id="15"/>
            <w:r>
              <w:rPr>
                <w:rFonts w:ascii="Arial" w:hAnsi="Arial"/>
                <w:color w:val="293A55"/>
                <w:sz w:val="15"/>
              </w:rPr>
              <w:t>(У тексті Порядку, крім пункту 9, слово "Мінагр</w:t>
            </w:r>
            <w:r>
              <w:rPr>
                <w:rFonts w:ascii="Arial" w:hAnsi="Arial"/>
                <w:color w:val="293A55"/>
                <w:sz w:val="15"/>
              </w:rPr>
              <w:t>ополітики" замінено словом "Мінекономіки" згідно з постановою Кабінету Міністрів України від 10 грудня 2025 року N 1653)</w:t>
            </w:r>
          </w:p>
        </w:tc>
        <w:bookmarkEnd w:id="16"/>
      </w:tr>
    </w:tbl>
    <w:p w:rsidR="00F41715" w:rsidRDefault="00791FD5">
      <w:pPr>
        <w:spacing w:after="75"/>
        <w:ind w:firstLine="240"/>
        <w:jc w:val="both"/>
      </w:pPr>
      <w:bookmarkStart w:id="17" w:name="44"/>
      <w:r>
        <w:rPr>
          <w:rFonts w:ascii="Arial" w:hAnsi="Arial"/>
          <w:color w:val="293A55"/>
          <w:sz w:val="18"/>
        </w:rPr>
        <w:t>1. Цей Порядок визначає механізм використання коштів, передбачених Мінекономіки у державному бюджеті за бюджетною програмою "Діяльніст</w:t>
      </w:r>
      <w:r>
        <w:rPr>
          <w:rFonts w:ascii="Arial" w:hAnsi="Arial"/>
          <w:color w:val="293A55"/>
          <w:sz w:val="18"/>
        </w:rPr>
        <w:t>ь у сфері рибного господарства" на здійснення заходів із вселення водних біоресурсів у рибогосподарські водні об'єкти (їх частини)" (далі - бюджетні кошти).</w:t>
      </w:r>
    </w:p>
    <w:p w:rsidR="00F41715" w:rsidRDefault="00791FD5">
      <w:pPr>
        <w:spacing w:after="75"/>
        <w:ind w:firstLine="240"/>
        <w:jc w:val="both"/>
      </w:pPr>
      <w:bookmarkStart w:id="18" w:name="45"/>
      <w:bookmarkEnd w:id="17"/>
      <w:r>
        <w:rPr>
          <w:rFonts w:ascii="Arial" w:hAnsi="Arial"/>
          <w:color w:val="293A55"/>
          <w:sz w:val="18"/>
        </w:rPr>
        <w:lastRenderedPageBreak/>
        <w:t>Дія цього Порядку не поширюється на бюджетні установи, які утримуються за рахунок бюджетних признач</w:t>
      </w:r>
      <w:r>
        <w:rPr>
          <w:rFonts w:ascii="Arial" w:hAnsi="Arial"/>
          <w:color w:val="293A55"/>
          <w:sz w:val="18"/>
        </w:rPr>
        <w:t>ень за бюджетною програмою "Діяльність у сфері рибного господарства".</w:t>
      </w:r>
    </w:p>
    <w:p w:rsidR="00F41715" w:rsidRDefault="00791FD5">
      <w:pPr>
        <w:spacing w:after="75"/>
        <w:ind w:firstLine="240"/>
        <w:jc w:val="right"/>
      </w:pPr>
      <w:bookmarkStart w:id="19" w:name="46"/>
      <w:bookmarkEnd w:id="18"/>
      <w:r>
        <w:rPr>
          <w:rFonts w:ascii="Arial" w:hAnsi="Arial"/>
          <w:color w:val="293A55"/>
          <w:sz w:val="18"/>
        </w:rPr>
        <w:t>(пункт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06.03.2026 р. N 299)</w:t>
      </w:r>
    </w:p>
    <w:p w:rsidR="00F41715" w:rsidRDefault="00791FD5">
      <w:pPr>
        <w:spacing w:after="75"/>
        <w:ind w:firstLine="240"/>
        <w:jc w:val="both"/>
      </w:pPr>
      <w:bookmarkStart w:id="20" w:name="18"/>
      <w:bookmarkEnd w:id="19"/>
      <w:r>
        <w:rPr>
          <w:rFonts w:ascii="Arial" w:hAnsi="Arial"/>
          <w:color w:val="000000"/>
          <w:sz w:val="18"/>
        </w:rPr>
        <w:t xml:space="preserve">2. Головним розпорядником бюджетних коштів є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.</w:t>
      </w:r>
    </w:p>
    <w:p w:rsidR="00F41715" w:rsidRDefault="00791FD5">
      <w:pPr>
        <w:spacing w:after="75"/>
        <w:ind w:firstLine="240"/>
        <w:jc w:val="both"/>
      </w:pPr>
      <w:bookmarkStart w:id="21" w:name="19"/>
      <w:bookmarkEnd w:id="20"/>
      <w:r>
        <w:rPr>
          <w:rFonts w:ascii="Arial" w:hAnsi="Arial"/>
          <w:color w:val="000000"/>
          <w:sz w:val="18"/>
        </w:rPr>
        <w:t>Розпорядником бюджетних коштів нижчого рівня</w:t>
      </w:r>
      <w:r>
        <w:rPr>
          <w:rFonts w:ascii="Arial" w:hAnsi="Arial"/>
          <w:color w:val="000000"/>
          <w:sz w:val="18"/>
        </w:rPr>
        <w:t xml:space="preserve"> та відповідальним виконавцем бюджетної програми є Держрибагентство.</w:t>
      </w:r>
    </w:p>
    <w:p w:rsidR="00F41715" w:rsidRDefault="00791FD5">
      <w:pPr>
        <w:spacing w:after="75"/>
        <w:ind w:firstLine="240"/>
        <w:jc w:val="both"/>
      </w:pPr>
      <w:bookmarkStart w:id="22" w:name="20"/>
      <w:bookmarkEnd w:id="21"/>
      <w:r>
        <w:rPr>
          <w:rFonts w:ascii="Arial" w:hAnsi="Arial"/>
          <w:color w:val="000000"/>
          <w:sz w:val="18"/>
        </w:rPr>
        <w:t>3. Отримувачами бюджетних коштів є юридичні особи незалежно від організаційно-правової форми або фізичні особи - підприємці, які провадять рибогосподарську діяльність та:</w:t>
      </w:r>
    </w:p>
    <w:p w:rsidR="00F41715" w:rsidRDefault="00791FD5">
      <w:pPr>
        <w:spacing w:after="75"/>
        <w:ind w:firstLine="240"/>
        <w:jc w:val="both"/>
      </w:pPr>
      <w:bookmarkStart w:id="23" w:name="21"/>
      <w:bookmarkEnd w:id="22"/>
      <w:r>
        <w:rPr>
          <w:rFonts w:ascii="Arial" w:hAnsi="Arial"/>
          <w:color w:val="000000"/>
          <w:sz w:val="18"/>
        </w:rPr>
        <w:t>щодо яких не зас</w:t>
      </w:r>
      <w:r>
        <w:rPr>
          <w:rFonts w:ascii="Arial" w:hAnsi="Arial"/>
          <w:color w:val="000000"/>
          <w:sz w:val="18"/>
        </w:rPr>
        <w:t xml:space="preserve">тосовуються судові процедури банкрутства (неплатоспроможності), передбачені </w:t>
      </w:r>
      <w:r>
        <w:rPr>
          <w:rFonts w:ascii="Arial" w:hAnsi="Arial"/>
          <w:color w:val="293A55"/>
          <w:sz w:val="18"/>
        </w:rPr>
        <w:t>Кодексом України з процедур банкрутства</w:t>
      </w:r>
      <w:r>
        <w:rPr>
          <w:rFonts w:ascii="Arial" w:hAnsi="Arial"/>
          <w:color w:val="000000"/>
          <w:sz w:val="18"/>
        </w:rPr>
        <w:t>, та/або які не перебувають у стадії ліквідації;</w:t>
      </w:r>
    </w:p>
    <w:p w:rsidR="00F41715" w:rsidRDefault="00791FD5">
      <w:pPr>
        <w:spacing w:after="75"/>
        <w:ind w:firstLine="240"/>
        <w:jc w:val="both"/>
      </w:pPr>
      <w:bookmarkStart w:id="24" w:name="22"/>
      <w:bookmarkEnd w:id="23"/>
      <w:r>
        <w:rPr>
          <w:rFonts w:ascii="Arial" w:hAnsi="Arial"/>
          <w:color w:val="000000"/>
          <w:sz w:val="18"/>
        </w:rPr>
        <w:t>які не віднесені до юридичних або фізичних осіб, до яких застосовуються спеціальні економічн</w:t>
      </w:r>
      <w:r>
        <w:rPr>
          <w:rFonts w:ascii="Arial" w:hAnsi="Arial"/>
          <w:color w:val="000000"/>
          <w:sz w:val="18"/>
        </w:rPr>
        <w:t>і та інші обмежувальні заходи (санкції), відповідними рішеннями Ради національної безпеки і оборони України, введеними в дію Указом Президента України щодо застосування персональних спеціальних економічних та інших обмежувальних заходів (санкцій) відповідн</w:t>
      </w:r>
      <w:r>
        <w:rPr>
          <w:rFonts w:ascii="Arial" w:hAnsi="Arial"/>
          <w:color w:val="000000"/>
          <w:sz w:val="18"/>
        </w:rPr>
        <w:t xml:space="preserve">о до </w:t>
      </w:r>
      <w:r>
        <w:rPr>
          <w:rFonts w:ascii="Arial" w:hAnsi="Arial"/>
          <w:color w:val="293A55"/>
          <w:sz w:val="18"/>
        </w:rPr>
        <w:t>Закону України "Про санкції"</w:t>
      </w:r>
      <w:r>
        <w:rPr>
          <w:rFonts w:ascii="Arial" w:hAnsi="Arial"/>
          <w:color w:val="000000"/>
          <w:sz w:val="18"/>
        </w:rPr>
        <w:t>;</w:t>
      </w:r>
    </w:p>
    <w:p w:rsidR="00F41715" w:rsidRDefault="00791FD5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>які фактично не перебувають та не провадять свою господарську діяльність на тимчасово окупованих Російською Федерацією територіях України або на територіях, на яких ведуться активні бойові дії, включених до переліку терит</w:t>
      </w:r>
      <w:r>
        <w:rPr>
          <w:rFonts w:ascii="Arial" w:hAnsi="Arial"/>
          <w:color w:val="000000"/>
          <w:sz w:val="18"/>
        </w:rPr>
        <w:t>орій, на яких ведуться (велися) бойові дії або тимчасово окупованих Російською Федерацією, затвердженого наказом Мінрозвитку;</w:t>
      </w:r>
    </w:p>
    <w:p w:rsidR="00F41715" w:rsidRDefault="00791FD5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>які не провадять господарську діяльність на території Російської Федерації та Республіки Білорусь.</w:t>
      </w:r>
    </w:p>
    <w:p w:rsidR="00F41715" w:rsidRDefault="00791FD5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>4. Бюджетні кошти спрямовуються</w:t>
      </w:r>
      <w:r>
        <w:rPr>
          <w:rFonts w:ascii="Arial" w:hAnsi="Arial"/>
          <w:color w:val="000000"/>
          <w:sz w:val="18"/>
        </w:rPr>
        <w:t xml:space="preserve"> в межах бюджетних призначень, передбачених у державному бюджеті на поточний бюджетний період, з урахуванням відповідних фактичних надходжень коштів, одержаних від зростання стартової ціни лота на аукціоні, на здійснення заходів із вселення водних біоресур</w:t>
      </w:r>
      <w:r>
        <w:rPr>
          <w:rFonts w:ascii="Arial" w:hAnsi="Arial"/>
          <w:color w:val="000000"/>
          <w:sz w:val="18"/>
        </w:rPr>
        <w:t>сів у рибогосподарські водні об'єкти (їх частини), а саме на:</w:t>
      </w:r>
    </w:p>
    <w:p w:rsidR="00F41715" w:rsidRDefault="00791FD5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000000"/>
          <w:sz w:val="18"/>
        </w:rPr>
        <w:t>виконання робіт з відтворення водних біоресурсів;</w:t>
      </w:r>
    </w:p>
    <w:p w:rsidR="00F41715" w:rsidRDefault="00791FD5">
      <w:pPr>
        <w:spacing w:after="75"/>
        <w:ind w:firstLine="240"/>
        <w:jc w:val="both"/>
      </w:pPr>
      <w:bookmarkStart w:id="29" w:name="27"/>
      <w:bookmarkEnd w:id="28"/>
      <w:r>
        <w:rPr>
          <w:rFonts w:ascii="Arial" w:hAnsi="Arial"/>
          <w:color w:val="000000"/>
          <w:sz w:val="18"/>
        </w:rPr>
        <w:t xml:space="preserve">транспортування до місця вселення водних біоресурсів, види яких зазначені у науково-біологічних обґрунтуваннях, щодо яких виконується комплекс </w:t>
      </w:r>
      <w:r>
        <w:rPr>
          <w:rFonts w:ascii="Arial" w:hAnsi="Arial"/>
          <w:color w:val="000000"/>
          <w:sz w:val="18"/>
        </w:rPr>
        <w:t>робіт з відтворення водних біоресурсів.</w:t>
      </w:r>
    </w:p>
    <w:p w:rsidR="00F41715" w:rsidRDefault="00791FD5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000000"/>
          <w:sz w:val="18"/>
        </w:rPr>
        <w:t>5. Держрибагентство визначає рибогосподарські водні об'єкти (їх частини) та обсяги бюджетних коштів для здійснення заходів із вселення водних біоресурсів пропорційно до обсягів бюджетних коштів, що надійшли до спеціа</w:t>
      </w:r>
      <w:r>
        <w:rPr>
          <w:rFonts w:ascii="Arial" w:hAnsi="Arial"/>
          <w:color w:val="000000"/>
          <w:sz w:val="18"/>
        </w:rPr>
        <w:t>льного фонду державного бюджету від зростання стартової ціни лота на аукціоні, за такими рибогосподарськими водними об'єктами (їх частинами).</w:t>
      </w:r>
    </w:p>
    <w:p w:rsidR="00F41715" w:rsidRDefault="00791FD5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000000"/>
          <w:sz w:val="18"/>
        </w:rPr>
        <w:t>6. Держрибагентство з урахуванням визначеного обсягу бюджетних коштів у розрізі окремого рибогосподарського водног</w:t>
      </w:r>
      <w:r>
        <w:rPr>
          <w:rFonts w:ascii="Arial" w:hAnsi="Arial"/>
          <w:color w:val="000000"/>
          <w:sz w:val="18"/>
        </w:rPr>
        <w:t>о об'єкта (його частини) звертається до наукової установи, яка входить до сфери управління Держрибагентства (далі - наукова установа), щодо розроблення та подання науково-біологічних обґрунтувань, які розробляються у розрізі окремих рибогосподарських водни</w:t>
      </w:r>
      <w:r>
        <w:rPr>
          <w:rFonts w:ascii="Arial" w:hAnsi="Arial"/>
          <w:color w:val="000000"/>
          <w:sz w:val="18"/>
        </w:rPr>
        <w:t>х об'єктів (їх частин) на строк не більше трьох років та якими визначаються максимально допустимі обсяги вселення водних біоресурсів за видами риб і періоди здійснення заходів із вселення водних біоресурсів у рибогосподарські водні об'єкти (їх частини), за</w:t>
      </w:r>
      <w:r>
        <w:rPr>
          <w:rFonts w:ascii="Arial" w:hAnsi="Arial"/>
          <w:color w:val="000000"/>
          <w:sz w:val="18"/>
        </w:rPr>
        <w:t xml:space="preserve"> рахунок бюджетних коштів. Фактичні обсяги такого вселення не можуть бути більшими за визначені максимально допустимі обсяги.</w:t>
      </w:r>
    </w:p>
    <w:p w:rsidR="00F41715" w:rsidRDefault="00791FD5">
      <w:pPr>
        <w:spacing w:after="75"/>
        <w:ind w:firstLine="240"/>
        <w:jc w:val="both"/>
      </w:pPr>
      <w:bookmarkStart w:id="32" w:name="30"/>
      <w:bookmarkEnd w:id="31"/>
      <w:r>
        <w:rPr>
          <w:rFonts w:ascii="Arial" w:hAnsi="Arial"/>
          <w:color w:val="000000"/>
          <w:sz w:val="18"/>
        </w:rPr>
        <w:t>Наукова установа подає Держрибагентству науково-біологічні обґрунтування, інформація з яких використовується для розроблення та за</w:t>
      </w:r>
      <w:r>
        <w:rPr>
          <w:rFonts w:ascii="Arial" w:hAnsi="Arial"/>
          <w:color w:val="000000"/>
          <w:sz w:val="18"/>
        </w:rPr>
        <w:t>твердження тендерної документації.</w:t>
      </w:r>
    </w:p>
    <w:p w:rsidR="00F41715" w:rsidRDefault="00791FD5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000000"/>
          <w:sz w:val="18"/>
        </w:rPr>
        <w:t xml:space="preserve">Держрибагентство на підставі науково-біологічних обґрунтувань та Примірної методики визначення очікуваної вартості предмета закупівлі, затвердженої </w:t>
      </w:r>
      <w:r>
        <w:rPr>
          <w:rFonts w:ascii="Arial" w:hAnsi="Arial"/>
          <w:color w:val="293A55"/>
          <w:sz w:val="18"/>
        </w:rPr>
        <w:t>наказом Мінекономіки від 18 лютого 2020 р. N 275</w:t>
      </w:r>
      <w:r>
        <w:rPr>
          <w:rFonts w:ascii="Arial" w:hAnsi="Arial"/>
          <w:color w:val="000000"/>
          <w:sz w:val="18"/>
        </w:rPr>
        <w:t>, визначає очікувану варт</w:t>
      </w:r>
      <w:r>
        <w:rPr>
          <w:rFonts w:ascii="Arial" w:hAnsi="Arial"/>
          <w:color w:val="000000"/>
          <w:sz w:val="18"/>
        </w:rPr>
        <w:t>ість здійснення заходів із вселення водних біоресурсів у рибогосподарські водні об'єкти (їх частини), а саме виконання робіт з відтворення водних біоресурсів, транспортування до місця вселення водних біоресурсів, щодо яких виконується комплекс робіт з відт</w:t>
      </w:r>
      <w:r>
        <w:rPr>
          <w:rFonts w:ascii="Arial" w:hAnsi="Arial"/>
          <w:color w:val="000000"/>
          <w:sz w:val="18"/>
        </w:rPr>
        <w:t>ворення водних біоресурсів, та оголошує про проведення процедури закупівель.</w:t>
      </w:r>
    </w:p>
    <w:p w:rsidR="00F41715" w:rsidRDefault="00791FD5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t>7. Закупівля товарів, робіт і послуг для здійснення заходів із вселення водних біоресурсів у рибогосподарські водні об'єкти (їх частини) здійснюється відповідно до вимог законодав</w:t>
      </w:r>
      <w:r>
        <w:rPr>
          <w:rFonts w:ascii="Arial" w:hAnsi="Arial"/>
          <w:color w:val="000000"/>
          <w:sz w:val="18"/>
        </w:rPr>
        <w:t>ства у сфері публічних закупівель.</w:t>
      </w:r>
    </w:p>
    <w:p w:rsidR="00F41715" w:rsidRDefault="00791FD5">
      <w:pPr>
        <w:spacing w:after="75"/>
        <w:ind w:firstLine="240"/>
        <w:jc w:val="both"/>
      </w:pPr>
      <w:bookmarkStart w:id="35" w:name="33"/>
      <w:bookmarkEnd w:id="34"/>
      <w:r>
        <w:rPr>
          <w:rFonts w:ascii="Arial" w:hAnsi="Arial"/>
          <w:color w:val="000000"/>
          <w:sz w:val="18"/>
        </w:rPr>
        <w:t>8. Після проведення публічних закупівель Держрибагентство укладає з переможцем процедури закупівлі договір про закупівлю щодо здійснення заходів із вселення водних біоресурсів у рибогосподарські водні об'єкти (їх частини)</w:t>
      </w:r>
      <w:r>
        <w:rPr>
          <w:rFonts w:ascii="Arial" w:hAnsi="Arial"/>
          <w:color w:val="000000"/>
          <w:sz w:val="18"/>
        </w:rPr>
        <w:t xml:space="preserve">, а саме виконання робіт з відтворення водних біоресурсів, </w:t>
      </w:r>
      <w:r>
        <w:rPr>
          <w:rFonts w:ascii="Arial" w:hAnsi="Arial"/>
          <w:color w:val="000000"/>
          <w:sz w:val="18"/>
        </w:rPr>
        <w:lastRenderedPageBreak/>
        <w:t>транспортування до місця вселення водних біоресурсів, щодо яких виконується комплекс робіт з відтворення водних біоресурсів (далі - договір) згідно з вимогами законодавства у сфері публічних закупі</w:t>
      </w:r>
      <w:r>
        <w:rPr>
          <w:rFonts w:ascii="Arial" w:hAnsi="Arial"/>
          <w:color w:val="000000"/>
          <w:sz w:val="18"/>
        </w:rPr>
        <w:t>вель.</w:t>
      </w:r>
    </w:p>
    <w:p w:rsidR="00F41715" w:rsidRDefault="00791FD5">
      <w:pPr>
        <w:spacing w:after="75"/>
        <w:ind w:firstLine="240"/>
        <w:jc w:val="both"/>
      </w:pPr>
      <w:bookmarkStart w:id="36" w:name="34"/>
      <w:bookmarkEnd w:id="35"/>
      <w:r>
        <w:rPr>
          <w:rFonts w:ascii="Arial" w:hAnsi="Arial"/>
          <w:color w:val="000000"/>
          <w:sz w:val="18"/>
        </w:rPr>
        <w:t xml:space="preserve">9. Заходи із вселення водних біоресурсів у рибогосподарські водні об'єкти (їх частини) здійснюються з дотриманням вимог Порядку штучного розведення (відтворення), вирощування водних біоресурсів та їх використання, затвердженого </w:t>
      </w:r>
      <w:r>
        <w:rPr>
          <w:rFonts w:ascii="Arial" w:hAnsi="Arial"/>
          <w:color w:val="293A55"/>
          <w:sz w:val="18"/>
        </w:rPr>
        <w:t>наказом Мінагрополітик</w:t>
      </w:r>
      <w:r>
        <w:rPr>
          <w:rFonts w:ascii="Arial" w:hAnsi="Arial"/>
          <w:color w:val="293A55"/>
          <w:sz w:val="18"/>
        </w:rPr>
        <w:t>и від 26 серпня 2022 р. N 622</w:t>
      </w:r>
      <w:r>
        <w:rPr>
          <w:rFonts w:ascii="Arial" w:hAnsi="Arial"/>
          <w:color w:val="000000"/>
          <w:sz w:val="18"/>
        </w:rPr>
        <w:t>.</w:t>
      </w:r>
    </w:p>
    <w:p w:rsidR="00F41715" w:rsidRDefault="00791FD5">
      <w:pPr>
        <w:spacing w:after="75"/>
        <w:ind w:firstLine="240"/>
        <w:jc w:val="both"/>
      </w:pPr>
      <w:bookmarkStart w:id="37" w:name="35"/>
      <w:bookmarkEnd w:id="36"/>
      <w:r>
        <w:rPr>
          <w:rFonts w:ascii="Arial" w:hAnsi="Arial"/>
          <w:color w:val="000000"/>
          <w:sz w:val="18"/>
        </w:rPr>
        <w:t>10. Казначейство здійснює перерахування бюджетних коштів з рахунка Держрибагентства, відкритого в Казначействі, на поточні рахунки отримувачів бюджетних коштів, відкриті в банках, на підставі поданих Держрибагентством Казначе</w:t>
      </w:r>
      <w:r>
        <w:rPr>
          <w:rFonts w:ascii="Arial" w:hAnsi="Arial"/>
          <w:color w:val="000000"/>
          <w:sz w:val="18"/>
        </w:rPr>
        <w:t xml:space="preserve">йству платіжних інструкцій, договору, підсумкового акта про виконання робіт з відтворення водних біоресурсів за формою згідно з </w:t>
      </w:r>
      <w:r>
        <w:rPr>
          <w:rFonts w:ascii="Arial" w:hAnsi="Arial"/>
          <w:color w:val="293A55"/>
          <w:sz w:val="18"/>
        </w:rPr>
        <w:t>додатком 7 до Порядку штучного розведення (відтворення), вирощування водних біоресурсів та їх використання</w:t>
      </w:r>
      <w:r>
        <w:rPr>
          <w:rFonts w:ascii="Arial" w:hAnsi="Arial"/>
          <w:color w:val="000000"/>
          <w:sz w:val="18"/>
        </w:rPr>
        <w:t>.</w:t>
      </w:r>
    </w:p>
    <w:p w:rsidR="00F41715" w:rsidRDefault="00791FD5">
      <w:pPr>
        <w:spacing w:after="75"/>
        <w:ind w:firstLine="240"/>
        <w:jc w:val="both"/>
      </w:pPr>
      <w:bookmarkStart w:id="38" w:name="36"/>
      <w:bookmarkEnd w:id="37"/>
      <w:r>
        <w:rPr>
          <w:rFonts w:ascii="Arial" w:hAnsi="Arial"/>
          <w:color w:val="000000"/>
          <w:sz w:val="18"/>
        </w:rPr>
        <w:t>Перерахунок бюджетни</w:t>
      </w:r>
      <w:r>
        <w:rPr>
          <w:rFonts w:ascii="Arial" w:hAnsi="Arial"/>
          <w:color w:val="000000"/>
          <w:sz w:val="18"/>
        </w:rPr>
        <w:t>х коштів на поточні рахунки отримувачів бюджетних коштів здійснюється в повному обсязі згідно з умовами договору.</w:t>
      </w:r>
    </w:p>
    <w:p w:rsidR="00F41715" w:rsidRDefault="00791FD5">
      <w:pPr>
        <w:spacing w:after="75"/>
        <w:ind w:firstLine="240"/>
        <w:jc w:val="both"/>
      </w:pPr>
      <w:bookmarkStart w:id="39" w:name="37"/>
      <w:bookmarkEnd w:id="38"/>
      <w:r>
        <w:rPr>
          <w:rFonts w:ascii="Arial" w:hAnsi="Arial"/>
          <w:color w:val="000000"/>
          <w:sz w:val="18"/>
        </w:rPr>
        <w:t>11. Відображення у первинному та бухгалтерському обліку інформації про отримані (створені) оборотні і необоротні активи, відкриття та закриття</w:t>
      </w:r>
      <w:r>
        <w:rPr>
          <w:rFonts w:ascii="Arial" w:hAnsi="Arial"/>
          <w:color w:val="000000"/>
          <w:sz w:val="18"/>
        </w:rPr>
        <w:t xml:space="preserve"> рахунків, а також реєстрація, облік бюджетних зобов'язань в органах Казначейства та проведення операцій, пов'язаних із використанням бюджетних коштів, здійснюються в установленому законодавством порядку.</w:t>
      </w:r>
    </w:p>
    <w:p w:rsidR="00F41715" w:rsidRDefault="00791FD5">
      <w:pPr>
        <w:spacing w:after="75"/>
        <w:ind w:firstLine="240"/>
        <w:jc w:val="both"/>
      </w:pPr>
      <w:bookmarkStart w:id="40" w:name="38"/>
      <w:bookmarkEnd w:id="39"/>
      <w:r>
        <w:rPr>
          <w:rFonts w:ascii="Arial" w:hAnsi="Arial"/>
          <w:color w:val="000000"/>
          <w:sz w:val="18"/>
        </w:rPr>
        <w:t>12. Складення та подання фінансової і бюджетної зві</w:t>
      </w:r>
      <w:r>
        <w:rPr>
          <w:rFonts w:ascii="Arial" w:hAnsi="Arial"/>
          <w:color w:val="000000"/>
          <w:sz w:val="18"/>
        </w:rPr>
        <w:t>тності про використання бюджетних коштів, звіту про виконання паспорта бюджетної програми, а також контроль за їх цільовим та ефективним витрачанням здійснюються в установленому законодавством порядку.</w:t>
      </w:r>
    </w:p>
    <w:p w:rsidR="00F41715" w:rsidRDefault="00791FD5">
      <w:pPr>
        <w:spacing w:after="75"/>
        <w:jc w:val="center"/>
      </w:pPr>
      <w:bookmarkStart w:id="41" w:name="39"/>
      <w:bookmarkEnd w:id="40"/>
      <w:r>
        <w:rPr>
          <w:rFonts w:ascii="Arial" w:hAnsi="Arial"/>
          <w:color w:val="000000"/>
          <w:sz w:val="18"/>
        </w:rPr>
        <w:t>____________</w:t>
      </w:r>
      <w:bookmarkStart w:id="42" w:name="_GoBack"/>
      <w:bookmarkEnd w:id="41"/>
      <w:bookmarkEnd w:id="42"/>
    </w:p>
    <w:sectPr w:rsidR="00F417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61E10"/>
    <w:multiLevelType w:val="multilevel"/>
    <w:tmpl w:val="02FCC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782BDF"/>
    <w:multiLevelType w:val="multilevel"/>
    <w:tmpl w:val="6AFE14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715"/>
    <w:rsid w:val="00791FD5"/>
    <w:rsid w:val="00F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E3EED-F6BF-4A3E-979B-AA65FD6A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2026-03-09T16:42:00Z</dcterms:created>
  <dcterms:modified xsi:type="dcterms:W3CDTF">2026-03-09T16:43:00Z</dcterms:modified>
</cp:coreProperties>
</file>