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33" w:rsidRDefault="005400C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833" w:rsidRDefault="005400C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DD2833" w:rsidRDefault="005400C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DD2833" w:rsidRDefault="005400C4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13 грудня 2017 р. N 1010</w:t>
      </w:r>
    </w:p>
    <w:p w:rsidR="00DD2833" w:rsidRDefault="005400C4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DD2833" w:rsidRDefault="005400C4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критеріїв визначення планованої діяльності, яка не підлягає оцінці впливу на довкілля, та критеріїв визначення розширень і змін діяльності та об'єктів, які не </w:t>
      </w:r>
      <w:r>
        <w:rPr>
          <w:rFonts w:ascii="Arial" w:hAnsi="Arial"/>
          <w:color w:val="000000"/>
          <w:sz w:val="34"/>
        </w:rPr>
        <w:t>підлягають оцінці впливу на довкілля</w:t>
      </w:r>
    </w:p>
    <w:p w:rsidR="00DD2833" w:rsidRDefault="005400C4">
      <w:pPr>
        <w:spacing w:after="75"/>
        <w:jc w:val="center"/>
      </w:pPr>
      <w:bookmarkStart w:id="6" w:name="37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 вересня 2022 року N 1121,</w:t>
      </w:r>
      <w:r>
        <w:br/>
      </w:r>
      <w:r>
        <w:rPr>
          <w:rFonts w:ascii="Arial" w:hAnsi="Arial"/>
          <w:color w:val="293A55"/>
          <w:sz w:val="18"/>
        </w:rPr>
        <w:t>від 27 грудня 2022 року N 1463,</w:t>
      </w:r>
      <w:r>
        <w:br/>
      </w:r>
      <w:r>
        <w:rPr>
          <w:rFonts w:ascii="Arial" w:hAnsi="Arial"/>
          <w:color w:val="293A55"/>
          <w:sz w:val="18"/>
        </w:rPr>
        <w:t>від 21 липня 2023 року N 763,</w:t>
      </w:r>
      <w:r>
        <w:br/>
      </w:r>
      <w:r>
        <w:rPr>
          <w:rFonts w:ascii="Arial" w:hAnsi="Arial"/>
          <w:color w:val="293A55"/>
          <w:sz w:val="18"/>
        </w:rPr>
        <w:t>від 1 серпня 2023 року N 800,</w:t>
      </w:r>
      <w:r>
        <w:br/>
      </w:r>
      <w:r>
        <w:rPr>
          <w:rFonts w:ascii="Arial" w:hAnsi="Arial"/>
          <w:color w:val="293A55"/>
          <w:sz w:val="18"/>
        </w:rPr>
        <w:t>від 7 грудня 202</w:t>
      </w:r>
      <w:r>
        <w:rPr>
          <w:rFonts w:ascii="Arial" w:hAnsi="Arial"/>
          <w:color w:val="293A55"/>
          <w:sz w:val="18"/>
        </w:rPr>
        <w:t>3 року N 1320,</w:t>
      </w:r>
      <w:r>
        <w:br/>
      </w:r>
      <w:r>
        <w:rPr>
          <w:rFonts w:ascii="Arial" w:hAnsi="Arial"/>
          <w:color w:val="293A55"/>
          <w:sz w:val="18"/>
        </w:rPr>
        <w:t>від 1 лютого 2024 року N 107,</w:t>
      </w:r>
      <w:r>
        <w:br/>
      </w:r>
      <w:r>
        <w:rPr>
          <w:rFonts w:ascii="Arial" w:hAnsi="Arial"/>
          <w:color w:val="293A55"/>
          <w:sz w:val="18"/>
        </w:rPr>
        <w:t>від 14 травня 2024 року N 547,</w:t>
      </w:r>
      <w:r>
        <w:br/>
      </w:r>
      <w:r>
        <w:rPr>
          <w:rFonts w:ascii="Arial" w:hAnsi="Arial"/>
          <w:color w:val="293A55"/>
          <w:sz w:val="18"/>
        </w:rPr>
        <w:t>від 6 вересня 2024 року N 1063,</w:t>
      </w:r>
      <w:r>
        <w:br/>
      </w:r>
      <w:r>
        <w:rPr>
          <w:rFonts w:ascii="Arial" w:hAnsi="Arial"/>
          <w:color w:val="293A55"/>
          <w:sz w:val="18"/>
        </w:rPr>
        <w:t>від 4 лютого 2025 року N 152,</w:t>
      </w:r>
      <w:r>
        <w:br/>
      </w:r>
      <w:r>
        <w:rPr>
          <w:rFonts w:ascii="Arial" w:hAnsi="Arial"/>
          <w:color w:val="293A55"/>
          <w:sz w:val="18"/>
        </w:rPr>
        <w:t>від 7 липня 2025 року N 811,</w:t>
      </w:r>
      <w:r>
        <w:br/>
      </w:r>
      <w:r>
        <w:rPr>
          <w:rFonts w:ascii="Arial" w:hAnsi="Arial"/>
          <w:color w:val="293A55"/>
          <w:sz w:val="18"/>
        </w:rPr>
        <w:t>від 16 липня 2025 року N 902</w:t>
      </w:r>
      <w:r>
        <w:br/>
      </w:r>
      <w:r>
        <w:rPr>
          <w:rFonts w:ascii="Arial" w:hAnsi="Arial"/>
          <w:i/>
          <w:color w:val="000000"/>
          <w:sz w:val="18"/>
        </w:rPr>
        <w:t>(яка діє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протягом періоду дії правового режиму воєнного стан</w:t>
      </w:r>
      <w:r>
        <w:rPr>
          <w:rFonts w:ascii="Arial" w:hAnsi="Arial"/>
          <w:color w:val="293A55"/>
          <w:sz w:val="18"/>
        </w:rPr>
        <w:t>у</w:t>
      </w:r>
      <w:r>
        <w:br/>
      </w:r>
      <w:r>
        <w:rPr>
          <w:rFonts w:ascii="Arial" w:hAnsi="Arial"/>
          <w:color w:val="293A55"/>
          <w:sz w:val="18"/>
        </w:rPr>
        <w:t xml:space="preserve"> та протягом 12 місяців з дня його припинення або скасування),</w:t>
      </w:r>
      <w:r>
        <w:br/>
      </w:r>
      <w:r>
        <w:rPr>
          <w:rFonts w:ascii="Arial" w:hAnsi="Arial"/>
          <w:color w:val="293A55"/>
          <w:sz w:val="18"/>
        </w:rPr>
        <w:t>від 25 липня 2025 року N 911,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1626</w:t>
      </w:r>
    </w:p>
    <w:p w:rsidR="00DD2833" w:rsidRDefault="005400C4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3 частини першої статті 1</w:t>
      </w:r>
      <w:r>
        <w:rPr>
          <w:rFonts w:ascii="Arial" w:hAnsi="Arial"/>
          <w:color w:val="000000"/>
          <w:sz w:val="18"/>
        </w:rPr>
        <w:t xml:space="preserve">, абзацу другого </w:t>
      </w:r>
      <w:r>
        <w:rPr>
          <w:rFonts w:ascii="Arial" w:hAnsi="Arial"/>
          <w:color w:val="293A55"/>
          <w:sz w:val="18"/>
        </w:rPr>
        <w:t>частини першої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пункту 22 частини другої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пункту 14 частини треть</w:t>
      </w:r>
      <w:r>
        <w:rPr>
          <w:rFonts w:ascii="Arial" w:hAnsi="Arial"/>
          <w:color w:val="293A55"/>
          <w:sz w:val="18"/>
        </w:rPr>
        <w:t>ої статті 3 Закону України "Про оцінку впливу на довкілля"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DD2833" w:rsidRDefault="005400C4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Затвердити:</w:t>
      </w:r>
    </w:p>
    <w:p w:rsidR="00DD2833" w:rsidRDefault="005400C4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критерії визначення планованої діяльності, яка не підлягає оцінці впливу на довкілля, згідно з додатком 1;</w:t>
      </w:r>
    </w:p>
    <w:p w:rsidR="00DD2833" w:rsidRDefault="005400C4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критерії визначення розширень і змін ді</w:t>
      </w:r>
      <w:r>
        <w:rPr>
          <w:rFonts w:ascii="Arial" w:hAnsi="Arial"/>
          <w:color w:val="000000"/>
          <w:sz w:val="18"/>
        </w:rPr>
        <w:t>яльності та об'єктів, які не підлягають оцінці впливу на довкілля, згідно з додатком 2.</w:t>
      </w:r>
    </w:p>
    <w:p w:rsidR="00DD2833" w:rsidRDefault="005400C4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DD283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D2833" w:rsidRDefault="005400C4">
            <w:pPr>
              <w:spacing w:after="75"/>
              <w:jc w:val="center"/>
            </w:pPr>
            <w:bookmarkStart w:id="12" w:name="12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DD2833" w:rsidRDefault="005400C4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В. ГРОЙСМАН</w:t>
            </w:r>
          </w:p>
        </w:tc>
        <w:bookmarkEnd w:id="13"/>
      </w:tr>
    </w:tbl>
    <w:p w:rsidR="00DD2833" w:rsidRDefault="005400C4">
      <w:pPr>
        <w:spacing w:after="75"/>
        <w:ind w:firstLine="240"/>
        <w:jc w:val="both"/>
      </w:pPr>
      <w:bookmarkStart w:id="14" w:name="14"/>
      <w:r>
        <w:rPr>
          <w:rFonts w:ascii="Arial" w:hAnsi="Arial"/>
          <w:color w:val="000000"/>
          <w:sz w:val="18"/>
        </w:rPr>
        <w:t>Інд. 75</w:t>
      </w:r>
    </w:p>
    <w:p w:rsidR="00DD2833" w:rsidRDefault="005400C4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DD2833" w:rsidRDefault="005400C4">
      <w:pPr>
        <w:spacing w:after="75"/>
        <w:ind w:firstLine="240"/>
        <w:jc w:val="right"/>
      </w:pPr>
      <w:bookmarkStart w:id="16" w:name="16"/>
      <w:bookmarkEnd w:id="15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>до 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13 грудня 2017 р. N 1010</w:t>
      </w:r>
    </w:p>
    <w:p w:rsidR="00DD2833" w:rsidRDefault="005400C4">
      <w:pPr>
        <w:pStyle w:val="3"/>
        <w:spacing w:after="225"/>
        <w:jc w:val="center"/>
      </w:pPr>
      <w:bookmarkStart w:id="17" w:name="17"/>
      <w:bookmarkEnd w:id="16"/>
      <w:r>
        <w:rPr>
          <w:rFonts w:ascii="Arial" w:hAnsi="Arial"/>
          <w:color w:val="000000"/>
          <w:sz w:val="26"/>
        </w:rPr>
        <w:t>КРИТЕРІЇ</w:t>
      </w:r>
      <w:r>
        <w:br/>
      </w:r>
      <w:r>
        <w:rPr>
          <w:rFonts w:ascii="Arial" w:hAnsi="Arial"/>
          <w:color w:val="000000"/>
          <w:sz w:val="26"/>
        </w:rPr>
        <w:t xml:space="preserve"> визначення планованої діяльності, яка не підлягає оцінці впливу на довкілля</w:t>
      </w:r>
    </w:p>
    <w:p w:rsidR="00DD2833" w:rsidRDefault="005400C4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1. Згідно з цими критеріями визначається планована діяльність, яка не підлягає оцінці впливу на довкілля.</w:t>
      </w:r>
    </w:p>
    <w:p w:rsidR="00DD2833" w:rsidRDefault="005400C4">
      <w:pPr>
        <w:spacing w:after="75"/>
        <w:ind w:firstLine="240"/>
        <w:jc w:val="both"/>
      </w:pPr>
      <w:bookmarkStart w:id="19" w:name="38"/>
      <w:bookmarkEnd w:id="18"/>
      <w:r>
        <w:rPr>
          <w:rFonts w:ascii="Arial" w:hAnsi="Arial"/>
          <w:color w:val="293A55"/>
          <w:sz w:val="18"/>
        </w:rPr>
        <w:t>2. Оцінці впливу на довкілля не підлягає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планована діяльність суб'єктів г</w:t>
      </w:r>
      <w:r>
        <w:rPr>
          <w:rFonts w:ascii="Arial" w:hAnsi="Arial"/>
          <w:color w:val="293A55"/>
          <w:sz w:val="18"/>
        </w:rPr>
        <w:t>осподарювання, включених до електронного реєстру учасників відбору та виконавців державних контрактів (договорів),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відповідно до Порядку виробництва, закупівлі та постачання вибухових речовин і боєприпасів,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</w:t>
      </w:r>
      <w:r>
        <w:rPr>
          <w:rFonts w:ascii="Arial" w:hAnsi="Arial"/>
          <w:color w:val="293A55"/>
          <w:sz w:val="18"/>
        </w:rPr>
        <w:t>ни від 16 липня 2025 р. N 902 "Деякі питання виробництва закупівлі та постачання вибухових речовин і боєприпасів",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планована діяльність, визначена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1 - 21 частини другої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1 - 13 частини третьої статті 3 Закону України "Про оцінку впли</w:t>
      </w:r>
      <w:r>
        <w:rPr>
          <w:rFonts w:ascii="Arial" w:hAnsi="Arial"/>
          <w:color w:val="293A55"/>
          <w:sz w:val="18"/>
        </w:rPr>
        <w:t>ву на довкілля", у разі, коли вона спрямована виключно на забезпечення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оборони та енергетичної безпеки держави, ліквідацію наслідків надзвичайних ситуацій, наслідків військової агресії Російської Федерації проти України, а саме діяльність з:</w:t>
      </w:r>
    </w:p>
    <w:p w:rsidR="00DD2833" w:rsidRDefault="005400C4">
      <w:pPr>
        <w:spacing w:after="75"/>
        <w:ind w:firstLine="240"/>
        <w:jc w:val="right"/>
      </w:pPr>
      <w:bookmarkStart w:id="20" w:name="45"/>
      <w:bookmarkEnd w:id="19"/>
      <w:r>
        <w:rPr>
          <w:rFonts w:ascii="Arial" w:hAnsi="Arial"/>
          <w:color w:val="293A55"/>
          <w:sz w:val="18"/>
        </w:rPr>
        <w:t xml:space="preserve">(абзац перший </w:t>
      </w:r>
      <w:r>
        <w:rPr>
          <w:rFonts w:ascii="Arial" w:hAnsi="Arial"/>
          <w:color w:val="293A55"/>
          <w:sz w:val="18"/>
        </w:rPr>
        <w:t>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27.12.2022 р. N 1463,</w:t>
      </w:r>
      <w:r>
        <w:br/>
      </w:r>
      <w:r>
        <w:rPr>
          <w:rFonts w:ascii="Arial" w:hAnsi="Arial"/>
          <w:color w:val="293A55"/>
          <w:sz w:val="18"/>
        </w:rPr>
        <w:t>від 06.09.2024 р. N 1063,</w:t>
      </w:r>
      <w:r>
        <w:br/>
      </w:r>
      <w:r>
        <w:rPr>
          <w:rFonts w:ascii="Arial" w:hAnsi="Arial"/>
          <w:color w:val="293A55"/>
          <w:sz w:val="18"/>
        </w:rPr>
        <w:t>від 16.07.2025 р. N 902,</w:t>
      </w:r>
      <w:r>
        <w:br/>
      </w:r>
      <w:r>
        <w:rPr>
          <w:rFonts w:ascii="Arial" w:hAnsi="Arial"/>
          <w:i/>
          <w:color w:val="000000"/>
          <w:sz w:val="18"/>
        </w:rPr>
        <w:t>яка діє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протягом періоду дії правового режиму воєнного</w:t>
      </w:r>
      <w:r>
        <w:br/>
      </w:r>
      <w:r>
        <w:rPr>
          <w:rFonts w:ascii="Arial" w:hAnsi="Arial"/>
          <w:color w:val="293A55"/>
          <w:sz w:val="18"/>
        </w:rPr>
        <w:t xml:space="preserve"> стану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протягом 12 місяців з дня його при</w:t>
      </w:r>
      <w:r>
        <w:rPr>
          <w:rFonts w:ascii="Arial" w:hAnsi="Arial"/>
          <w:color w:val="293A55"/>
          <w:sz w:val="18"/>
        </w:rPr>
        <w:t>пинення або скасування)</w:t>
      </w:r>
    </w:p>
    <w:p w:rsidR="00DD2833" w:rsidRDefault="005400C4">
      <w:pPr>
        <w:spacing w:after="75"/>
        <w:ind w:firstLine="240"/>
        <w:jc w:val="both"/>
      </w:pPr>
      <w:bookmarkStart w:id="21" w:name="39"/>
      <w:bookmarkEnd w:id="20"/>
      <w:r>
        <w:rPr>
          <w:rFonts w:ascii="Arial" w:hAnsi="Arial"/>
          <w:color w:val="293A55"/>
          <w:sz w:val="18"/>
        </w:rPr>
        <w:t>1) будівництва об'єктів військового та оборонного призначення, які використовуються виключно для забезпечення оборони держави та на які поширюються вимоги законодавства про державну таємницю;</w:t>
      </w:r>
    </w:p>
    <w:p w:rsidR="00DD2833" w:rsidRDefault="005400C4">
      <w:pPr>
        <w:spacing w:after="75"/>
        <w:ind w:firstLine="240"/>
        <w:jc w:val="both"/>
      </w:pPr>
      <w:bookmarkStart w:id="22" w:name="51"/>
      <w:bookmarkEnd w:id="21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будівництва повітряних ліній електро</w:t>
      </w:r>
      <w:r>
        <w:rPr>
          <w:rFonts w:ascii="Arial" w:hAnsi="Arial"/>
          <w:color w:val="293A55"/>
          <w:sz w:val="18"/>
        </w:rPr>
        <w:t>передачі напругою 220 кВ і більше та підстанцій напругою 330 кВ і більше у період воєнного стану, а також розміщення у період воєнного стану мобільних генеруючих /газотурбінних установок та пов'язаних з ними газових та електричних мереж, вузлів обліку, інш</w:t>
      </w:r>
      <w:r>
        <w:rPr>
          <w:rFonts w:ascii="Arial" w:hAnsi="Arial"/>
          <w:color w:val="293A55"/>
          <w:sz w:val="18"/>
        </w:rPr>
        <w:t>ого пов'язаного обладнання в межах земельних ділянок, на яких розташовані об'єкти газотранспортної системи, на підставі технічних умов приєднання до газотранспортної системи в порядку, встановленому Кодексом газотранспортної системи,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НКРЕКП від 30 вересня 2015 р. N 2493;</w:t>
      </w:r>
    </w:p>
    <w:p w:rsidR="00DD2833" w:rsidRDefault="005400C4">
      <w:pPr>
        <w:spacing w:after="75"/>
        <w:ind w:firstLine="240"/>
        <w:jc w:val="right"/>
      </w:pPr>
      <w:bookmarkStart w:id="23" w:name="47"/>
      <w:bookmarkEnd w:id="22"/>
      <w:r>
        <w:rPr>
          <w:rFonts w:ascii="Arial" w:hAnsi="Arial"/>
          <w:color w:val="293A55"/>
          <w:sz w:val="18"/>
        </w:rPr>
        <w:t>(пункт 2 доповнено підпунктом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27.12.2022 р. N 1463,</w:t>
      </w:r>
      <w:r>
        <w:br/>
      </w:r>
      <w:r>
        <w:rPr>
          <w:rFonts w:ascii="Arial" w:hAnsi="Arial"/>
          <w:color w:val="293A55"/>
          <w:sz w:val="18"/>
        </w:rPr>
        <w:t>підпункт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01.08.2023 р. N 800)</w:t>
      </w:r>
    </w:p>
    <w:p w:rsidR="00DD2833" w:rsidRDefault="005400C4">
      <w:pPr>
        <w:spacing w:after="75"/>
        <w:ind w:firstLine="240"/>
        <w:jc w:val="both"/>
      </w:pPr>
      <w:bookmarkStart w:id="24" w:name="55"/>
      <w:bookmarkEnd w:id="23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) б</w:t>
      </w:r>
      <w:r>
        <w:rPr>
          <w:rFonts w:ascii="Arial" w:hAnsi="Arial"/>
          <w:color w:val="293A55"/>
          <w:sz w:val="18"/>
        </w:rPr>
        <w:t xml:space="preserve">удівництва та/або розміщення у період воєнного стану газопоршневих та газотурбінних установок, зокрема когенераційних, блочно-модульних котелень, дизельних/бензинових та газових генераторів (потужністю від 1 МВт та більше), а також пов'язаних з ними мереж </w:t>
      </w:r>
      <w:r>
        <w:rPr>
          <w:rFonts w:ascii="Arial" w:hAnsi="Arial"/>
          <w:color w:val="293A55"/>
          <w:sz w:val="18"/>
        </w:rPr>
        <w:t>електро-, тепло-, газо-, водопостачання, вузлів обліку, іншого пов'язаного обладнання;</w:t>
      </w:r>
    </w:p>
    <w:p w:rsidR="00DD2833" w:rsidRDefault="005400C4">
      <w:pPr>
        <w:spacing w:after="75"/>
        <w:ind w:firstLine="240"/>
        <w:jc w:val="right"/>
      </w:pPr>
      <w:bookmarkStart w:id="25" w:name="53"/>
      <w:bookmarkEnd w:id="24"/>
      <w:r>
        <w:rPr>
          <w:rFonts w:ascii="Arial" w:hAnsi="Arial"/>
          <w:color w:val="293A55"/>
          <w:sz w:val="18"/>
        </w:rPr>
        <w:t>(пункт 2 доповнено підпунктом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07.12.2023 р. N 1320,</w:t>
      </w:r>
      <w:r>
        <w:br/>
      </w:r>
      <w:r>
        <w:rPr>
          <w:rFonts w:ascii="Arial" w:hAnsi="Arial"/>
          <w:color w:val="293A55"/>
          <w:sz w:val="18"/>
        </w:rPr>
        <w:t>підпункт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</w:t>
      </w:r>
      <w:r>
        <w:rPr>
          <w:rFonts w:ascii="Arial" w:hAnsi="Arial"/>
          <w:color w:val="293A55"/>
          <w:sz w:val="18"/>
        </w:rPr>
        <w:t>України від 14.05.2024 р. N 547)</w:t>
      </w:r>
    </w:p>
    <w:p w:rsidR="00DD2833" w:rsidRDefault="005400C4">
      <w:pPr>
        <w:spacing w:after="75"/>
        <w:ind w:firstLine="240"/>
        <w:jc w:val="both"/>
      </w:pPr>
      <w:bookmarkStart w:id="26" w:name="61"/>
      <w:bookmarkEnd w:id="25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) будівництва та/або розміщення, та/або відновлення, та/або реконструкції, та/або капітального ремонту об'єктів газосховищ, об'єктів нафтогазовидобування та об'єктів газотранспортної системи, пошкоджених або зруйнованих в</w:t>
      </w:r>
      <w:r>
        <w:rPr>
          <w:rFonts w:ascii="Arial" w:hAnsi="Arial"/>
          <w:color w:val="293A55"/>
          <w:sz w:val="18"/>
        </w:rPr>
        <w:t>наслідок збройної агресії Російської Федерації проти України - для оператора газотранспортної системи, оператора газосховища, суб'єкта господарювання, у статутному капіталі якого 100 відсотків акцій (часток) належать господарському товариству, частка держа</w:t>
      </w:r>
      <w:r>
        <w:rPr>
          <w:rFonts w:ascii="Arial" w:hAnsi="Arial"/>
          <w:color w:val="293A55"/>
          <w:sz w:val="18"/>
        </w:rPr>
        <w:t xml:space="preserve">ви у статутному капіталі якого становить 100 відсотків, та на якого згідно з рішенням Кабінету Міністрів України </w:t>
      </w:r>
      <w:r>
        <w:rPr>
          <w:rFonts w:ascii="Arial" w:hAnsi="Arial"/>
          <w:color w:val="293A55"/>
          <w:sz w:val="18"/>
        </w:rPr>
        <w:lastRenderedPageBreak/>
        <w:t>покладені спеціальні обов'язки на ринку природного газу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ринок природного газу", а також геологічного вивчення</w:t>
      </w:r>
      <w:r>
        <w:rPr>
          <w:rFonts w:ascii="Arial" w:hAnsi="Arial"/>
          <w:color w:val="293A55"/>
          <w:sz w:val="18"/>
        </w:rPr>
        <w:t xml:space="preserve"> нафтогазоносності надр та будівництва об'єктів газотранспортної системи з метою диверсифікації маршрутів транспортування природного газу - для оператора газотранспортної системи;</w:t>
      </w:r>
    </w:p>
    <w:p w:rsidR="00DD2833" w:rsidRDefault="005400C4">
      <w:pPr>
        <w:spacing w:after="75"/>
        <w:ind w:firstLine="240"/>
        <w:jc w:val="right"/>
      </w:pPr>
      <w:bookmarkStart w:id="27" w:name="57"/>
      <w:bookmarkEnd w:id="26"/>
      <w:r>
        <w:rPr>
          <w:rFonts w:ascii="Arial" w:hAnsi="Arial"/>
          <w:color w:val="293A55"/>
          <w:sz w:val="18"/>
        </w:rPr>
        <w:t>(пункт 2 доповнено підпунктом 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</w:t>
      </w:r>
      <w:r>
        <w:rPr>
          <w:rFonts w:ascii="Arial" w:hAnsi="Arial"/>
          <w:color w:val="293A55"/>
          <w:sz w:val="18"/>
        </w:rPr>
        <w:t>аїни від 04.02.2025 р. N 152,</w:t>
      </w:r>
      <w:r>
        <w:br/>
      </w:r>
      <w:r>
        <w:rPr>
          <w:rFonts w:ascii="Arial" w:hAnsi="Arial"/>
          <w:color w:val="293A55"/>
          <w:sz w:val="18"/>
        </w:rPr>
        <w:t>підпункт 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пункту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25.07.2025 р. N 911)</w:t>
      </w:r>
    </w:p>
    <w:p w:rsidR="00DD2833" w:rsidRDefault="005400C4">
      <w:pPr>
        <w:spacing w:after="75"/>
        <w:ind w:firstLine="240"/>
        <w:jc w:val="both"/>
      </w:pPr>
      <w:bookmarkStart w:id="28" w:name="40"/>
      <w:bookmarkEnd w:id="27"/>
      <w:r>
        <w:rPr>
          <w:rFonts w:ascii="Arial" w:hAnsi="Arial"/>
          <w:color w:val="293A55"/>
          <w:sz w:val="18"/>
        </w:rPr>
        <w:t>2)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ліквідації наслідків надзвичайних ситуацій, у тому числі відновлення окремих конструкцій будівель і споруд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відновлення функці</w:t>
      </w:r>
      <w:r>
        <w:rPr>
          <w:rFonts w:ascii="Arial" w:hAnsi="Arial"/>
          <w:color w:val="293A55"/>
          <w:sz w:val="18"/>
        </w:rPr>
        <w:t>онування об'єктів, призначених для забезпечення життєдіяльності населення, без зміни їх геометричних розмірів;</w:t>
      </w:r>
    </w:p>
    <w:p w:rsidR="00DD2833" w:rsidRDefault="005400C4">
      <w:pPr>
        <w:spacing w:after="75"/>
        <w:ind w:firstLine="240"/>
        <w:jc w:val="right"/>
      </w:pPr>
      <w:bookmarkStart w:id="29" w:name="59"/>
      <w:bookmarkEnd w:id="28"/>
      <w:r>
        <w:rPr>
          <w:rFonts w:ascii="Arial" w:hAnsi="Arial"/>
          <w:color w:val="293A55"/>
          <w:sz w:val="18"/>
        </w:rPr>
        <w:t>(підпункт 2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07.07.2025 р. N 811)</w:t>
      </w:r>
    </w:p>
    <w:p w:rsidR="00DD2833" w:rsidRDefault="005400C4">
      <w:pPr>
        <w:spacing w:after="75"/>
        <w:ind w:firstLine="240"/>
        <w:jc w:val="both"/>
      </w:pPr>
      <w:bookmarkStart w:id="30" w:name="41"/>
      <w:bookmarkEnd w:id="29"/>
      <w:r>
        <w:rPr>
          <w:rFonts w:ascii="Arial" w:hAnsi="Arial"/>
          <w:color w:val="293A55"/>
          <w:sz w:val="18"/>
        </w:rPr>
        <w:t>3) відновлення з метою досягн</w:t>
      </w:r>
      <w:r>
        <w:rPr>
          <w:rFonts w:ascii="Arial" w:hAnsi="Arial"/>
          <w:color w:val="293A55"/>
          <w:sz w:val="18"/>
        </w:rPr>
        <w:t xml:space="preserve">ення експлуатаційно придатного стану пошкоджених або зруйнованих внаслідок військової агресії Російської Федерації проти України та бойових дій (з початку та у період дії правового режиму воєнного стану) об'єктів, призначених для життєдіяльності населення </w:t>
      </w:r>
      <w:r>
        <w:rPr>
          <w:rFonts w:ascii="Arial" w:hAnsi="Arial"/>
          <w:color w:val="293A55"/>
          <w:sz w:val="18"/>
        </w:rPr>
        <w:t>(об'єктів, що забезпечують: газопостачання; постачання електричної енергії; транспортування та постачання теплової енергії; централізоване водопостачання; централізоване водовідведення), шляхом їх поточного або капітального ремонту, реконструкції (без підв</w:t>
      </w:r>
      <w:r>
        <w:rPr>
          <w:rFonts w:ascii="Arial" w:hAnsi="Arial"/>
          <w:color w:val="293A55"/>
          <w:sz w:val="18"/>
        </w:rPr>
        <w:t>ищення класу наслідків відповідальності об'єкта та у межах раніше відведених земельних ділянок, без зміни геометричних розмірів об'єкта);</w:t>
      </w:r>
    </w:p>
    <w:p w:rsidR="00DD2833" w:rsidRDefault="005400C4">
      <w:pPr>
        <w:spacing w:after="75"/>
        <w:ind w:firstLine="240"/>
        <w:jc w:val="both"/>
      </w:pPr>
      <w:bookmarkStart w:id="31" w:name="42"/>
      <w:bookmarkEnd w:id="30"/>
      <w:r>
        <w:rPr>
          <w:rFonts w:ascii="Arial" w:hAnsi="Arial"/>
          <w:color w:val="293A55"/>
          <w:sz w:val="18"/>
        </w:rPr>
        <w:t>4) відновлення об'єктів, що передбачені абзацами третім - сьомим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пункту 7 частини другої статті 3 Закону України "Про </w:t>
      </w:r>
      <w:r>
        <w:rPr>
          <w:rFonts w:ascii="Arial" w:hAnsi="Arial"/>
          <w:color w:val="293A55"/>
          <w:sz w:val="18"/>
        </w:rPr>
        <w:t>оцінку впливу на довкілля", та інших залізничних колій і споруд, що пошкоджені або зруйновані внаслідок військової агресії Російської Федерації проти України з початку та у період дії правового режиму воєнного стану, шляхом проведення робіт з нового будівн</w:t>
      </w:r>
      <w:r>
        <w:rPr>
          <w:rFonts w:ascii="Arial" w:hAnsi="Arial"/>
          <w:color w:val="293A55"/>
          <w:sz w:val="18"/>
        </w:rPr>
        <w:t>ицтва зруйнованих та реконструкції, капітального ремонту пошкоджених об'єктів та споруд без підвищення класу наслідків (відповідальності) об'єктів будівництва;</w:t>
      </w:r>
    </w:p>
    <w:p w:rsidR="00DD2833" w:rsidRDefault="005400C4">
      <w:pPr>
        <w:spacing w:after="75"/>
        <w:ind w:firstLine="240"/>
        <w:jc w:val="right"/>
      </w:pPr>
      <w:bookmarkStart w:id="32" w:name="44"/>
      <w:bookmarkEnd w:id="31"/>
      <w:r>
        <w:rPr>
          <w:rFonts w:ascii="Arial" w:hAnsi="Arial"/>
          <w:color w:val="293A55"/>
          <w:sz w:val="18"/>
        </w:rPr>
        <w:t>(пункт 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30.09.2022 р. N 1121)</w:t>
      </w:r>
    </w:p>
    <w:p w:rsidR="00DD2833" w:rsidRDefault="005400C4">
      <w:pPr>
        <w:spacing w:after="75"/>
        <w:ind w:firstLine="240"/>
        <w:jc w:val="both"/>
      </w:pPr>
      <w:bookmarkStart w:id="33" w:name="49"/>
      <w:bookmarkEnd w:id="32"/>
      <w:r>
        <w:rPr>
          <w:rFonts w:ascii="Arial" w:hAnsi="Arial"/>
          <w:color w:val="293A55"/>
          <w:sz w:val="18"/>
        </w:rPr>
        <w:t>5)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виробницт</w:t>
      </w:r>
      <w:r>
        <w:rPr>
          <w:rFonts w:ascii="Arial" w:hAnsi="Arial"/>
          <w:color w:val="293A55"/>
          <w:sz w:val="18"/>
        </w:rPr>
        <w:t>во боєприпасів.</w:t>
      </w:r>
    </w:p>
    <w:p w:rsidR="00DD2833" w:rsidRDefault="005400C4">
      <w:pPr>
        <w:spacing w:after="75"/>
        <w:ind w:firstLine="240"/>
        <w:jc w:val="right"/>
      </w:pPr>
      <w:bookmarkStart w:id="34" w:name="50"/>
      <w:bookmarkEnd w:id="33"/>
      <w:r>
        <w:rPr>
          <w:rFonts w:ascii="Arial" w:hAnsi="Arial"/>
          <w:color w:val="293A55"/>
          <w:sz w:val="18"/>
        </w:rPr>
        <w:t>(пункт 2 доповнено підпунктом 5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21.07.2023 р. N 763,</w:t>
      </w:r>
      <w:r>
        <w:br/>
      </w:r>
      <w:r>
        <w:rPr>
          <w:rFonts w:ascii="Arial" w:hAnsi="Arial"/>
          <w:color w:val="293A55"/>
          <w:sz w:val="18"/>
        </w:rPr>
        <w:t>підпункт 5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01.02.2024 р. N 107)</w:t>
      </w:r>
    </w:p>
    <w:p w:rsidR="00DD2833" w:rsidRDefault="005400C4">
      <w:pPr>
        <w:spacing w:after="75"/>
        <w:ind w:firstLine="240"/>
        <w:jc w:val="both"/>
      </w:pPr>
      <w:bookmarkStart w:id="35" w:name="23"/>
      <w:bookmarkEnd w:id="34"/>
      <w:r>
        <w:rPr>
          <w:rFonts w:ascii="Arial" w:hAnsi="Arial"/>
          <w:color w:val="000000"/>
          <w:sz w:val="18"/>
        </w:rPr>
        <w:t xml:space="preserve"> </w:t>
      </w:r>
    </w:p>
    <w:p w:rsidR="00DD2833" w:rsidRDefault="005400C4">
      <w:pPr>
        <w:spacing w:after="75"/>
        <w:ind w:firstLine="240"/>
        <w:jc w:val="right"/>
      </w:pPr>
      <w:bookmarkStart w:id="36" w:name="24"/>
      <w:bookmarkEnd w:id="35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 xml:space="preserve">до </w:t>
      </w:r>
      <w:r>
        <w:rPr>
          <w:rFonts w:ascii="Arial" w:hAnsi="Arial"/>
          <w:color w:val="000000"/>
          <w:sz w:val="18"/>
        </w:rPr>
        <w:t>постанови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13 грудня 2017 р. N 1010</w:t>
      </w:r>
    </w:p>
    <w:p w:rsidR="00DD2833" w:rsidRDefault="005400C4">
      <w:pPr>
        <w:pStyle w:val="3"/>
        <w:spacing w:after="225"/>
        <w:jc w:val="center"/>
      </w:pPr>
      <w:bookmarkStart w:id="37" w:name="25"/>
      <w:bookmarkEnd w:id="36"/>
      <w:r>
        <w:rPr>
          <w:rFonts w:ascii="Arial" w:hAnsi="Arial"/>
          <w:color w:val="000000"/>
          <w:sz w:val="26"/>
        </w:rPr>
        <w:t>КРИТЕРІЇ</w:t>
      </w:r>
      <w:r>
        <w:br/>
      </w:r>
      <w:r>
        <w:rPr>
          <w:rFonts w:ascii="Arial" w:hAnsi="Arial"/>
          <w:color w:val="000000"/>
          <w:sz w:val="26"/>
        </w:rPr>
        <w:t xml:space="preserve"> визначення розширень і змін діяльності та об'єктів, які не підлягають оцінці впливу на довкілля</w:t>
      </w:r>
    </w:p>
    <w:p w:rsidR="00DD2833" w:rsidRDefault="005400C4">
      <w:pPr>
        <w:spacing w:after="75"/>
        <w:ind w:firstLine="240"/>
        <w:jc w:val="both"/>
      </w:pPr>
      <w:bookmarkStart w:id="38" w:name="26"/>
      <w:bookmarkEnd w:id="37"/>
      <w:r>
        <w:rPr>
          <w:rFonts w:ascii="Arial" w:hAnsi="Arial"/>
          <w:color w:val="000000"/>
          <w:sz w:val="18"/>
        </w:rPr>
        <w:t xml:space="preserve">1. Згідно з цими критеріями визначаються розширення і зміни діяльності та об'єктів, </w:t>
      </w:r>
      <w:r>
        <w:rPr>
          <w:rFonts w:ascii="Arial" w:hAnsi="Arial"/>
          <w:color w:val="000000"/>
          <w:sz w:val="18"/>
        </w:rPr>
        <w:t>які не підлягають оцінці впливу на довкілля.</w:t>
      </w:r>
    </w:p>
    <w:p w:rsidR="00DD2833" w:rsidRDefault="005400C4">
      <w:pPr>
        <w:spacing w:after="75"/>
        <w:ind w:firstLine="240"/>
        <w:jc w:val="both"/>
      </w:pPr>
      <w:bookmarkStart w:id="39" w:name="62"/>
      <w:bookmarkEnd w:id="38"/>
      <w:r>
        <w:rPr>
          <w:rFonts w:ascii="Arial" w:hAnsi="Arial"/>
          <w:color w:val="293A55"/>
          <w:sz w:val="18"/>
        </w:rPr>
        <w:t>Ці критерії також застосовуються для цілей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третьої статті 21 Закону України "Про інтегроване запобігання та контроль промислового забруднення".</w:t>
      </w:r>
    </w:p>
    <w:p w:rsidR="00DD2833" w:rsidRDefault="005400C4">
      <w:pPr>
        <w:spacing w:after="75"/>
        <w:ind w:firstLine="240"/>
        <w:jc w:val="right"/>
      </w:pPr>
      <w:bookmarkStart w:id="40" w:name="64"/>
      <w:bookmarkEnd w:id="39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</w:t>
      </w:r>
      <w:r>
        <w:rPr>
          <w:rFonts w:ascii="Arial" w:hAnsi="Arial"/>
          <w:color w:val="293A55"/>
          <w:sz w:val="18"/>
        </w:rPr>
        <w:t>ністрів України від 10.12.2025 р. N 1626)</w:t>
      </w:r>
    </w:p>
    <w:p w:rsidR="00DD2833" w:rsidRDefault="005400C4">
      <w:pPr>
        <w:spacing w:after="75"/>
        <w:ind w:firstLine="240"/>
        <w:jc w:val="both"/>
      </w:pPr>
      <w:bookmarkStart w:id="41" w:name="27"/>
      <w:bookmarkEnd w:id="40"/>
      <w:r>
        <w:rPr>
          <w:rFonts w:ascii="Arial" w:hAnsi="Arial"/>
          <w:color w:val="000000"/>
          <w:sz w:val="18"/>
        </w:rPr>
        <w:t xml:space="preserve">2. Оцінці впливу на довкілля не підлягають розширення і зміни діяльності та об'єктів, визначених </w:t>
      </w:r>
      <w:r>
        <w:rPr>
          <w:rFonts w:ascii="Arial" w:hAnsi="Arial"/>
          <w:color w:val="293A55"/>
          <w:sz w:val="18"/>
        </w:rPr>
        <w:t>пунктами 1 - 21 частини другої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пунктами 1 - 13 частини третьої статті 3 Закону України "Про оцінку впливу на довкі</w:t>
      </w:r>
      <w:r>
        <w:rPr>
          <w:rFonts w:ascii="Arial" w:hAnsi="Arial"/>
          <w:color w:val="293A55"/>
          <w:sz w:val="18"/>
        </w:rPr>
        <w:t>лля"</w:t>
      </w:r>
      <w:r>
        <w:rPr>
          <w:rFonts w:ascii="Arial" w:hAnsi="Arial"/>
          <w:color w:val="000000"/>
          <w:sz w:val="18"/>
        </w:rPr>
        <w:t>, а саме:</w:t>
      </w:r>
    </w:p>
    <w:p w:rsidR="00DD2833" w:rsidRDefault="005400C4">
      <w:pPr>
        <w:spacing w:after="75"/>
        <w:ind w:firstLine="240"/>
        <w:jc w:val="both"/>
      </w:pPr>
      <w:bookmarkStart w:id="42" w:name="28"/>
      <w:bookmarkEnd w:id="41"/>
      <w:r>
        <w:rPr>
          <w:rFonts w:ascii="Arial" w:hAnsi="Arial"/>
          <w:color w:val="000000"/>
          <w:sz w:val="18"/>
        </w:rPr>
        <w:lastRenderedPageBreak/>
        <w:t xml:space="preserve">1) технічне переоснащення одиниць та вузлів технологічного устаткування, систем управління та автоматизації, які морально застаріли та у яких вичерпано технічний ресурс, що розташовані в існуючих цехах, приміщеннях, без перепрофілювання, </w:t>
      </w:r>
      <w:r>
        <w:rPr>
          <w:rFonts w:ascii="Arial" w:hAnsi="Arial"/>
          <w:color w:val="000000"/>
          <w:sz w:val="18"/>
        </w:rPr>
        <w:t xml:space="preserve">капітального ремонту, реконструкції об'єктів та підприємств, якщо в результаті такого переоснащення господарська діяльність не призведе до збільшення утворюваних та утворення нових видів небезпечних відходів, збільшення та/або появи нових джерел викидів в </w:t>
      </w:r>
      <w:r>
        <w:rPr>
          <w:rFonts w:ascii="Arial" w:hAnsi="Arial"/>
          <w:color w:val="000000"/>
          <w:sz w:val="18"/>
        </w:rPr>
        <w:t>атмосферне повітря та скидів забруднюючих речовин у водні об'єкти, шумового, вібраційного, світлового, теплового та радіаційного забруднення, а також випромінення;</w:t>
      </w:r>
    </w:p>
    <w:p w:rsidR="00DD2833" w:rsidRDefault="005400C4">
      <w:pPr>
        <w:spacing w:after="75"/>
        <w:ind w:firstLine="240"/>
        <w:jc w:val="both"/>
      </w:pPr>
      <w:bookmarkStart w:id="43" w:name="29"/>
      <w:bookmarkEnd w:id="42"/>
      <w:r>
        <w:rPr>
          <w:rFonts w:ascii="Arial" w:hAnsi="Arial"/>
          <w:color w:val="000000"/>
          <w:sz w:val="18"/>
        </w:rPr>
        <w:t>2) капітальний ремонт інженерних мереж (газопостачання, водопостачання, водовідведення, тепл</w:t>
      </w:r>
      <w:r>
        <w:rPr>
          <w:rFonts w:ascii="Arial" w:hAnsi="Arial"/>
          <w:color w:val="000000"/>
          <w:sz w:val="18"/>
        </w:rPr>
        <w:t>опостачання, електропостачання, зв'язку) в межах існуючої мережі та у межах відведення земельних ділянок, без зміни зовнішніх геометричних розмірів, цільового та функціонального призначення, за винятком виконання таких робіт на територіях та об'єктах приро</w:t>
      </w:r>
      <w:r>
        <w:rPr>
          <w:rFonts w:ascii="Arial" w:hAnsi="Arial"/>
          <w:color w:val="000000"/>
          <w:sz w:val="18"/>
        </w:rPr>
        <w:t>дно-заповідного фонду (крім господарських зон національних природних і регіональних ландшафтних парків), за умови, що припинення на час виконання робіт експлуатації об'єкта в цілому або його частин не призведе до збільшення утворюваних та утворення нових в</w:t>
      </w:r>
      <w:r>
        <w:rPr>
          <w:rFonts w:ascii="Arial" w:hAnsi="Arial"/>
          <w:color w:val="000000"/>
          <w:sz w:val="18"/>
        </w:rPr>
        <w:t>идів небезпечних відходів, збільшення та/або появи нових викидів в атмосферне повітря та скидів забруднюючих речовин у водні об'єкти, шумового, вібраційного, світлового, теплового та радіаційного забруднення, а також випромінення;</w:t>
      </w:r>
    </w:p>
    <w:p w:rsidR="00DD2833" w:rsidRDefault="005400C4">
      <w:pPr>
        <w:spacing w:after="75"/>
        <w:ind w:firstLine="240"/>
        <w:jc w:val="both"/>
      </w:pPr>
      <w:bookmarkStart w:id="44" w:name="30"/>
      <w:bookmarkEnd w:id="43"/>
      <w:r>
        <w:rPr>
          <w:rFonts w:ascii="Arial" w:hAnsi="Arial"/>
          <w:color w:val="000000"/>
          <w:sz w:val="18"/>
        </w:rPr>
        <w:t xml:space="preserve">3) капітальний ремонт та </w:t>
      </w:r>
      <w:r>
        <w:rPr>
          <w:rFonts w:ascii="Arial" w:hAnsi="Arial"/>
          <w:color w:val="000000"/>
          <w:sz w:val="18"/>
        </w:rPr>
        <w:t>реконструкція окремих виробничих споруд та інженерних мереж в межах територій та/або приміщень, які використовуються для провадження господарської діяльності, без перепрофілювання та зміни зовнішніх геометричних розмірів та за умови, що в результаті такого</w:t>
      </w:r>
      <w:r>
        <w:rPr>
          <w:rFonts w:ascii="Arial" w:hAnsi="Arial"/>
          <w:color w:val="000000"/>
          <w:sz w:val="18"/>
        </w:rPr>
        <w:t xml:space="preserve"> капітального ремонту та реконструкції господарська діяльність не призведе до збільшення утворюваних та утворення нових видів небезпечних відходів, збільшення та/або появи нових джерел викидів в атмосферне повітря та скидів забруднюючих речовин у водні об'</w:t>
      </w:r>
      <w:r>
        <w:rPr>
          <w:rFonts w:ascii="Arial" w:hAnsi="Arial"/>
          <w:color w:val="000000"/>
          <w:sz w:val="18"/>
        </w:rPr>
        <w:t>єкти, шумового, вібраційного, світлового, теплового та радіаційного забруднення, а також випромінення;</w:t>
      </w:r>
    </w:p>
    <w:p w:rsidR="00DD2833" w:rsidRDefault="005400C4">
      <w:pPr>
        <w:spacing w:after="75"/>
        <w:ind w:firstLine="240"/>
        <w:jc w:val="both"/>
      </w:pPr>
      <w:bookmarkStart w:id="45" w:name="31"/>
      <w:bookmarkEnd w:id="44"/>
      <w:r>
        <w:rPr>
          <w:rFonts w:ascii="Arial" w:hAnsi="Arial"/>
          <w:color w:val="000000"/>
          <w:sz w:val="18"/>
        </w:rPr>
        <w:t>4) розширення господарської діяльності або об'єктів, які не підлягали оцінці впливу на довкілля та які внаслідок зазначеного розширення не перевищуватиму</w:t>
      </w:r>
      <w:r>
        <w:rPr>
          <w:rFonts w:ascii="Arial" w:hAnsi="Arial"/>
          <w:color w:val="000000"/>
          <w:sz w:val="18"/>
        </w:rPr>
        <w:t xml:space="preserve">ть порогових значень для видів діяльності або об'єктів, визначених у </w:t>
      </w:r>
      <w:r>
        <w:rPr>
          <w:rFonts w:ascii="Arial" w:hAnsi="Arial"/>
          <w:color w:val="293A55"/>
          <w:sz w:val="18"/>
        </w:rPr>
        <w:t>частинах другій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третій статті 3 Закону України "Про оцінку впливу на довкілля"</w:t>
      </w:r>
      <w:r>
        <w:rPr>
          <w:rFonts w:ascii="Arial" w:hAnsi="Arial"/>
          <w:color w:val="000000"/>
          <w:sz w:val="18"/>
        </w:rPr>
        <w:t>;</w:t>
      </w:r>
    </w:p>
    <w:p w:rsidR="00DD2833" w:rsidRDefault="005400C4">
      <w:pPr>
        <w:spacing w:after="75"/>
        <w:ind w:firstLine="240"/>
        <w:jc w:val="both"/>
      </w:pPr>
      <w:bookmarkStart w:id="46" w:name="32"/>
      <w:bookmarkEnd w:id="45"/>
      <w:r>
        <w:rPr>
          <w:rFonts w:ascii="Arial" w:hAnsi="Arial"/>
          <w:color w:val="000000"/>
          <w:sz w:val="18"/>
        </w:rPr>
        <w:t>5) розширення господарської діяльності або об'єктів, які підлягали оцінці впливу на довкілля та щодо яких</w:t>
      </w:r>
      <w:r>
        <w:rPr>
          <w:rFonts w:ascii="Arial" w:hAnsi="Arial"/>
          <w:color w:val="000000"/>
          <w:sz w:val="18"/>
        </w:rPr>
        <w:t xml:space="preserve"> було отримано висновок з оцінки впливу на довкілля, якщо зазначене розширення не перевищуватиме порогових значень для видів діяльності або об'єктів, визначених у </w:t>
      </w:r>
      <w:r>
        <w:rPr>
          <w:rFonts w:ascii="Arial" w:hAnsi="Arial"/>
          <w:color w:val="293A55"/>
          <w:sz w:val="18"/>
        </w:rPr>
        <w:t>частинах другій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третій статті 3 Закону України "Про оцінку впливу на довкілля"</w:t>
      </w:r>
      <w:r>
        <w:rPr>
          <w:rFonts w:ascii="Arial" w:hAnsi="Arial"/>
          <w:color w:val="000000"/>
          <w:sz w:val="18"/>
        </w:rPr>
        <w:t xml:space="preserve"> (у разі вста</w:t>
      </w:r>
      <w:r>
        <w:rPr>
          <w:rFonts w:ascii="Arial" w:hAnsi="Arial"/>
          <w:color w:val="000000"/>
          <w:sz w:val="18"/>
        </w:rPr>
        <w:t>новлення таких порогових значень);</w:t>
      </w:r>
    </w:p>
    <w:p w:rsidR="00DD2833" w:rsidRDefault="005400C4">
      <w:pPr>
        <w:spacing w:after="75"/>
        <w:ind w:firstLine="240"/>
        <w:jc w:val="both"/>
      </w:pPr>
      <w:bookmarkStart w:id="47" w:name="33"/>
      <w:bookmarkEnd w:id="46"/>
      <w:r>
        <w:rPr>
          <w:rFonts w:ascii="Arial" w:hAnsi="Arial"/>
          <w:color w:val="000000"/>
          <w:sz w:val="18"/>
        </w:rPr>
        <w:t xml:space="preserve">6) розширення господарської діяльності або об'єктів, які підлягали оцінці впливу на довкілля та щодо яких було отримано висновок з оцінки впливу на довкілля, порогові значення для яких у </w:t>
      </w:r>
      <w:r>
        <w:rPr>
          <w:rFonts w:ascii="Arial" w:hAnsi="Arial"/>
          <w:color w:val="293A55"/>
          <w:sz w:val="18"/>
        </w:rPr>
        <w:t>частинах другій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 xml:space="preserve">третій статті 3 </w:t>
      </w:r>
      <w:r>
        <w:rPr>
          <w:rFonts w:ascii="Arial" w:hAnsi="Arial"/>
          <w:color w:val="293A55"/>
          <w:sz w:val="18"/>
        </w:rPr>
        <w:t>Закону України "Про оцінку впливу на довкілля"</w:t>
      </w:r>
      <w:r>
        <w:rPr>
          <w:rFonts w:ascii="Arial" w:hAnsi="Arial"/>
          <w:color w:val="000000"/>
          <w:sz w:val="18"/>
        </w:rPr>
        <w:t xml:space="preserve"> не встановлені, за умови, що в результаті такого розширення господарська діяльність не призведе до збільшення утворюваних та утворення нових видів небезпечних відходів, збільшення та/або появи нових джерел вик</w:t>
      </w:r>
      <w:r>
        <w:rPr>
          <w:rFonts w:ascii="Arial" w:hAnsi="Arial"/>
          <w:color w:val="000000"/>
          <w:sz w:val="18"/>
        </w:rPr>
        <w:t>идів в атмосферне повітря та скидів забруднюючих речовин у водні об'єкти, шумового, вібраційного, світлового, теплового та радіаційного забруднення, а також випромінення;</w:t>
      </w:r>
    </w:p>
    <w:p w:rsidR="00DD2833" w:rsidRDefault="005400C4">
      <w:pPr>
        <w:spacing w:after="75"/>
        <w:ind w:firstLine="240"/>
        <w:jc w:val="both"/>
      </w:pPr>
      <w:bookmarkStart w:id="48" w:name="34"/>
      <w:bookmarkEnd w:id="47"/>
      <w:r>
        <w:rPr>
          <w:rFonts w:ascii="Arial" w:hAnsi="Arial"/>
          <w:color w:val="000000"/>
          <w:sz w:val="18"/>
        </w:rPr>
        <w:t>7) перепрофілювання господарської діяльності або об'єктів з метою провадження господа</w:t>
      </w:r>
      <w:r>
        <w:rPr>
          <w:rFonts w:ascii="Arial" w:hAnsi="Arial"/>
          <w:color w:val="000000"/>
          <w:sz w:val="18"/>
        </w:rPr>
        <w:t>рської діяльності, яка не підлягає оцінці впливу на довкілля, якщо зазначене перепрофілювання не пов'язане з ліквідацією (демонтажем) таких об'єктів, рекультивацією чи консервацією таких об'єктів або територій.</w:t>
      </w:r>
    </w:p>
    <w:p w:rsidR="00DD2833" w:rsidRDefault="005400C4">
      <w:pPr>
        <w:spacing w:after="75"/>
        <w:jc w:val="center"/>
      </w:pPr>
      <w:bookmarkStart w:id="49" w:name="35"/>
      <w:bookmarkEnd w:id="48"/>
      <w:r>
        <w:rPr>
          <w:rFonts w:ascii="Arial" w:hAnsi="Arial"/>
          <w:color w:val="000000"/>
          <w:sz w:val="18"/>
        </w:rPr>
        <w:t>____________</w:t>
      </w:r>
      <w:bookmarkStart w:id="50" w:name="_GoBack"/>
      <w:bookmarkEnd w:id="49"/>
      <w:bookmarkEnd w:id="50"/>
    </w:p>
    <w:sectPr w:rsidR="00DD28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0208A"/>
    <w:multiLevelType w:val="multilevel"/>
    <w:tmpl w:val="FDC07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0055F6"/>
    <w:multiLevelType w:val="multilevel"/>
    <w:tmpl w:val="26F88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833"/>
    <w:rsid w:val="005400C4"/>
    <w:rsid w:val="00D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10E9C-3578-49DB-AE9B-EA198246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1782</Words>
  <Characters>10161</Characters>
  <Application>Microsoft Office Word</Application>
  <DocSecurity>0</DocSecurity>
  <Lines>84</Lines>
  <Paragraphs>23</Paragraphs>
  <ScaleCrop>false</ScaleCrop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2025-12-16T17:32:00Z</dcterms:created>
  <dcterms:modified xsi:type="dcterms:W3CDTF">2025-12-16T17:32:00Z</dcterms:modified>
</cp:coreProperties>
</file>