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44" w:rsidRDefault="002E733D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44" w:rsidRDefault="002E733D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E7F44" w:rsidRDefault="002E733D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jc w:val="center"/>
      </w:pPr>
      <w:bookmarkStart w:id="3" w:name="598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1822-IX,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2320-IX,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3227-IX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3227-IX,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3505</w:t>
      </w:r>
      <w:r>
        <w:rPr>
          <w:rFonts w:ascii="Arial"/>
          <w:color w:val="000000"/>
          <w:sz w:val="18"/>
        </w:rPr>
        <w:t>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E7F44">
        <w:trPr>
          <w:tblCellSpacing w:w="0" w:type="auto"/>
        </w:trPr>
        <w:tc>
          <w:tcPr>
            <w:tcW w:w="9690" w:type="dxa"/>
            <w:vAlign w:val="center"/>
          </w:tcPr>
          <w:p w:rsidR="001E7F44" w:rsidRDefault="002E733D">
            <w:pPr>
              <w:spacing w:after="0"/>
            </w:pPr>
            <w:bookmarkStart w:id="4" w:name="620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4"/>
      </w:tr>
    </w:tbl>
    <w:p w:rsidR="001E7F44" w:rsidRDefault="002E733D">
      <w:r>
        <w:br/>
      </w:r>
    </w:p>
    <w:p w:rsidR="001E7F44" w:rsidRDefault="002E733D">
      <w:pPr>
        <w:spacing w:after="0"/>
        <w:ind w:firstLine="240"/>
      </w:pPr>
      <w:bookmarkStart w:id="5" w:name="4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6" w:name="5"/>
      <w:bookmarkEnd w:id="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1E7F44" w:rsidRDefault="002E733D">
      <w:pPr>
        <w:spacing w:after="0"/>
        <w:ind w:firstLine="240"/>
      </w:pPr>
      <w:bookmarkStart w:id="7" w:name="6"/>
      <w:bookmarkEnd w:id="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8" w:name="7"/>
      <w:bookmarkEnd w:id="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біорізноманіття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ландшафту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" w:name="8"/>
      <w:bookmarkEnd w:id="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0" w:name="9"/>
      <w:bookmarkEnd w:id="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" w:name="10"/>
      <w:bookmarkEnd w:id="1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2" w:name="11"/>
      <w:bookmarkEnd w:id="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3" w:name="580"/>
      <w:bookmarkEnd w:id="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1E7F44" w:rsidRDefault="002E733D">
      <w:pPr>
        <w:spacing w:after="0"/>
        <w:ind w:firstLine="240"/>
        <w:jc w:val="right"/>
      </w:pPr>
      <w:bookmarkStart w:id="14" w:name="581"/>
      <w:bookmarkEnd w:id="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1E7F44" w:rsidRDefault="002E733D">
      <w:pPr>
        <w:pStyle w:val="3"/>
        <w:spacing w:after="0"/>
        <w:jc w:val="center"/>
      </w:pPr>
      <w:bookmarkStart w:id="15" w:name="12"/>
      <w:bookmarkEnd w:id="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16" w:name="13"/>
      <w:bookmarkEnd w:id="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17" w:name="14"/>
      <w:bookmarkEnd w:id="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5, 6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8" w:name="15"/>
      <w:bookmarkEnd w:id="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7, 8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9" w:name="16"/>
      <w:bookmarkEnd w:id="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0" w:name="17"/>
      <w:bookmarkEnd w:id="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1" w:name="18"/>
      <w:bookmarkEnd w:id="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2" w:name="627"/>
      <w:bookmarkEnd w:id="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</w:t>
      </w:r>
      <w:r>
        <w:rPr>
          <w:rFonts w:ascii="Arial"/>
          <w:color w:val="000000"/>
          <w:sz w:val="18"/>
        </w:rPr>
        <w:t>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3" w:name="628"/>
      <w:bookmarkEnd w:id="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4" w:name="19"/>
      <w:bookmarkEnd w:id="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5" w:name="20"/>
      <w:bookmarkEnd w:id="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</w:t>
      </w:r>
      <w:r>
        <w:rPr>
          <w:rFonts w:ascii="Arial"/>
          <w:color w:val="000000"/>
          <w:sz w:val="18"/>
        </w:rPr>
        <w:t>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26" w:name="21"/>
      <w:bookmarkEnd w:id="2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27" w:name="22"/>
      <w:bookmarkEnd w:id="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8" w:name="738"/>
      <w:bookmarkEnd w:id="27"/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меморіального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кладовища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9" w:name="608"/>
      <w:bookmarkEnd w:id="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2132-IX,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2139-IX,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3505-IX)</w:t>
      </w:r>
    </w:p>
    <w:p w:rsidR="001E7F44" w:rsidRDefault="002E733D">
      <w:pPr>
        <w:spacing w:after="0"/>
        <w:ind w:firstLine="240"/>
      </w:pPr>
      <w:bookmarkStart w:id="30" w:name="24"/>
      <w:bookmarkEnd w:id="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31" w:name="25"/>
      <w:bookmarkEnd w:id="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нафтопереробні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газопереробні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</w:t>
      </w:r>
      <w:r>
        <w:rPr>
          <w:rFonts w:ascii="Arial"/>
          <w:color w:val="000000"/>
          <w:sz w:val="18"/>
        </w:rPr>
        <w:t>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бітумінозного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сланцю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2" w:name="26"/>
      <w:bookmarkEnd w:id="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теплові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ТЕЦ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мегават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дерні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33" w:name="27"/>
      <w:bookmarkEnd w:id="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4" w:name="28"/>
      <w:bookmarkEnd w:id="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збагаченої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</w:t>
      </w:r>
      <w:r>
        <w:rPr>
          <w:rFonts w:ascii="Arial"/>
          <w:color w:val="000000"/>
          <w:sz w:val="18"/>
        </w:rPr>
        <w:t>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металургійних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35" w:name="29"/>
      <w:bookmarkEnd w:id="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азбесту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азбестовмісних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азбестоцементної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фрикційних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6" w:name="30"/>
      <w:bookmarkEnd w:id="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хімічне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біотехнічне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еластомерів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пероксидів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7" w:name="31"/>
      <w:bookmarkEnd w:id="3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38" w:name="32"/>
      <w:bookmarkEnd w:id="37"/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аеродромів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посадковою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2100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9" w:name="33"/>
      <w:bookmarkEnd w:id="38"/>
      <w:r>
        <w:rPr>
          <w:rFonts w:ascii="Arial"/>
          <w:color w:val="000000"/>
          <w:sz w:val="18"/>
        </w:rPr>
        <w:t>автомагістралей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0" w:name="34"/>
      <w:bookmarkEnd w:id="39"/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протяжності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1" w:name="35"/>
      <w:bookmarkEnd w:id="40"/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2" w:name="36"/>
      <w:bookmarkEnd w:id="41"/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3" w:name="37"/>
      <w:bookmarkEnd w:id="42"/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тоннажністю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1350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4" w:name="38"/>
      <w:bookmarkEnd w:id="43"/>
      <w:r>
        <w:rPr>
          <w:rFonts w:ascii="Arial"/>
          <w:color w:val="000000"/>
          <w:sz w:val="18"/>
        </w:rPr>
        <w:t>глибоководних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суходолі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мілководних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оннажністю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1350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5" w:name="612"/>
      <w:bookmarkEnd w:id="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6" w:name="613"/>
      <w:bookmarkEnd w:id="45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7" w:name="614"/>
      <w:bookmarkEnd w:id="46"/>
      <w:r>
        <w:rPr>
          <w:rFonts w:ascii="Arial"/>
          <w:color w:val="000000"/>
          <w:sz w:val="18"/>
        </w:rPr>
        <w:lastRenderedPageBreak/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  <w:jc w:val="right"/>
      </w:pPr>
      <w:bookmarkStart w:id="48" w:name="615"/>
      <w:bookmarkEnd w:id="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</w:t>
      </w:r>
      <w:r>
        <w:rPr>
          <w:rFonts w:ascii="Arial"/>
          <w:color w:val="000000"/>
          <w:sz w:val="18"/>
        </w:rPr>
        <w:t xml:space="preserve">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1E7F44" w:rsidRDefault="002E733D">
      <w:pPr>
        <w:spacing w:after="0"/>
        <w:ind w:firstLine="240"/>
      </w:pPr>
      <w:bookmarkStart w:id="49" w:name="42"/>
      <w:bookmarkEnd w:id="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поповнюється</w:t>
      </w:r>
      <w:r>
        <w:rPr>
          <w:rFonts w:ascii="Arial"/>
          <w:color w:val="000000"/>
          <w:sz w:val="18"/>
        </w:rPr>
        <w:t xml:space="preserve">, 10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0" w:name="43"/>
      <w:bookmarkEnd w:id="4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міжбасейновий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трубопроводами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1" w:name="44"/>
      <w:bookmarkEnd w:id="5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греблі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2" w:name="45"/>
      <w:bookmarkEnd w:id="5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3" w:name="46"/>
      <w:bookmarkEnd w:id="5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800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4" w:name="47"/>
      <w:bookmarkEnd w:id="5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целюлози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5" w:name="48"/>
      <w:bookmarkEnd w:id="5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6" w:name="49"/>
      <w:bookmarkEnd w:id="5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потужно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7" w:name="50"/>
      <w:bookmarkEnd w:id="5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уловлювання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вуглекислого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мегатонни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</w:t>
      </w:r>
      <w:r>
        <w:rPr>
          <w:rFonts w:ascii="Arial"/>
          <w:color w:val="000000"/>
          <w:sz w:val="18"/>
        </w:rPr>
        <w:t>екислого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8" w:name="51"/>
      <w:bookmarkEnd w:id="5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9" w:name="52"/>
      <w:bookmarkEnd w:id="5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(60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бройлерів</w:t>
      </w:r>
      <w:r>
        <w:rPr>
          <w:rFonts w:ascii="Arial"/>
          <w:color w:val="000000"/>
          <w:sz w:val="18"/>
        </w:rPr>
        <w:t xml:space="preserve"> (85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свиней</w:t>
      </w:r>
      <w:r>
        <w:rPr>
          <w:rFonts w:ascii="Arial"/>
          <w:color w:val="000000"/>
          <w:sz w:val="18"/>
        </w:rPr>
        <w:t xml:space="preserve"> (3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свиней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900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свиноматок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60" w:name="53"/>
      <w:bookmarkEnd w:id="5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220 </w:t>
      </w:r>
      <w:r>
        <w:rPr>
          <w:rFonts w:ascii="Arial"/>
          <w:color w:val="000000"/>
          <w:sz w:val="18"/>
        </w:rPr>
        <w:t>кіловольт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кілометрів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1" w:name="54"/>
      <w:bookmarkEnd w:id="6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гектар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2" w:name="55"/>
      <w:bookmarkEnd w:id="6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1 - 21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63" w:name="56"/>
      <w:bookmarkEnd w:id="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4" w:name="57"/>
      <w:bookmarkEnd w:id="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глибоке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геотермальне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65" w:name="58"/>
      <w:bookmarkEnd w:id="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сільське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6" w:name="59"/>
      <w:bookmarkEnd w:id="65"/>
      <w:r>
        <w:rPr>
          <w:rFonts w:ascii="Arial"/>
          <w:color w:val="000000"/>
          <w:sz w:val="18"/>
        </w:rPr>
        <w:t>сільськогосподарське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рекультивація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7" w:name="60"/>
      <w:bookmarkEnd w:id="66"/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8" w:name="61"/>
      <w:bookmarkEnd w:id="67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9" w:name="62"/>
      <w:bookmarkEnd w:id="68"/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(40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свиней</w:t>
      </w:r>
      <w:r>
        <w:rPr>
          <w:rFonts w:ascii="Arial"/>
          <w:color w:val="000000"/>
          <w:sz w:val="18"/>
        </w:rPr>
        <w:t xml:space="preserve"> (1 </w:t>
      </w:r>
      <w:r>
        <w:rPr>
          <w:rFonts w:ascii="Arial"/>
          <w:color w:val="000000"/>
          <w:sz w:val="18"/>
        </w:rPr>
        <w:t>тисяча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свиноматок</w:t>
      </w:r>
      <w:r>
        <w:rPr>
          <w:rFonts w:ascii="Arial"/>
          <w:color w:val="000000"/>
          <w:sz w:val="18"/>
        </w:rPr>
        <w:t xml:space="preserve"> - 500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рогатої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(1 </w:t>
      </w:r>
      <w:r>
        <w:rPr>
          <w:rFonts w:ascii="Arial"/>
          <w:color w:val="000000"/>
          <w:sz w:val="18"/>
        </w:rPr>
        <w:t>тисяча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кролів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(2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70" w:name="63"/>
      <w:bookmarkEnd w:id="69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71" w:name="64"/>
      <w:bookmarkEnd w:id="70"/>
      <w:r>
        <w:rPr>
          <w:rFonts w:ascii="Arial"/>
          <w:color w:val="000000"/>
          <w:sz w:val="18"/>
        </w:rPr>
        <w:t>інтенсивна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тон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72" w:name="65"/>
      <w:bookmarkEnd w:id="71"/>
      <w:r>
        <w:rPr>
          <w:rFonts w:ascii="Arial"/>
          <w:color w:val="000000"/>
          <w:sz w:val="18"/>
        </w:rPr>
        <w:t>намив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73" w:name="66"/>
      <w:bookmarkEnd w:id="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видобувну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промисловість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74" w:name="67"/>
      <w:bookmarkEnd w:id="73"/>
      <w:r>
        <w:rPr>
          <w:rFonts w:ascii="Arial"/>
          <w:color w:val="000000"/>
          <w:sz w:val="18"/>
        </w:rPr>
        <w:lastRenderedPageBreak/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75" w:name="68"/>
      <w:bookmarkEnd w:id="74"/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76" w:name="69"/>
      <w:bookmarkEnd w:id="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промисловість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77" w:name="70"/>
      <w:bookmarkEnd w:id="76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вуглеводневої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басейнового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вугільних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бітуму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скрапленого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78" w:name="71"/>
      <w:bookmarkEnd w:id="77"/>
      <w:r>
        <w:rPr>
          <w:rFonts w:ascii="Arial"/>
          <w:color w:val="000000"/>
          <w:sz w:val="18"/>
        </w:rPr>
        <w:t>поверхневе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газоподібних</w:t>
      </w:r>
      <w:r>
        <w:rPr>
          <w:rFonts w:ascii="Arial"/>
          <w:color w:val="000000"/>
          <w:sz w:val="18"/>
        </w:rPr>
        <w:t xml:space="preserve">) 15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79" w:name="72"/>
      <w:bookmarkEnd w:id="78"/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брикетування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80" w:name="73"/>
      <w:bookmarkEnd w:id="79"/>
      <w:r>
        <w:rPr>
          <w:rFonts w:ascii="Arial"/>
          <w:color w:val="000000"/>
          <w:sz w:val="18"/>
        </w:rPr>
        <w:t>гідроелектростанції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81" w:name="74"/>
      <w:bookmarkEnd w:id="80"/>
      <w:r>
        <w:rPr>
          <w:rFonts w:ascii="Arial"/>
          <w:color w:val="000000"/>
          <w:sz w:val="18"/>
        </w:rPr>
        <w:t>гідроакумулюючі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ЕС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82" w:name="75"/>
      <w:bookmarkEnd w:id="81"/>
      <w:r>
        <w:rPr>
          <w:rFonts w:ascii="Arial"/>
          <w:color w:val="000000"/>
          <w:sz w:val="18"/>
        </w:rPr>
        <w:t>вітрові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83" w:name="76"/>
      <w:bookmarkEnd w:id="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84" w:name="77"/>
      <w:bookmarkEnd w:id="83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агломерації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сульфідної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85" w:name="78"/>
      <w:bookmarkEnd w:id="84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86" w:name="79"/>
      <w:bookmarkEnd w:id="85"/>
      <w:r>
        <w:rPr>
          <w:rFonts w:ascii="Arial"/>
          <w:color w:val="000000"/>
          <w:sz w:val="18"/>
        </w:rPr>
        <w:t>стани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87" w:name="80"/>
      <w:bookmarkEnd w:id="86"/>
      <w:r>
        <w:rPr>
          <w:rFonts w:ascii="Arial"/>
          <w:color w:val="000000"/>
          <w:sz w:val="18"/>
        </w:rPr>
        <w:t>ковальські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кілоджоулів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мегават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88" w:name="81"/>
      <w:bookmarkEnd w:id="87"/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89" w:name="82"/>
      <w:bookmarkEnd w:id="88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виплавляння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рекуперованих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рафінування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ливарне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плавильною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тонни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свинцю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кадмію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0" w:name="83"/>
      <w:bookmarkEnd w:id="89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1" w:name="84"/>
      <w:bookmarkEnd w:id="90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2" w:name="85"/>
      <w:bookmarkEnd w:id="91"/>
      <w:r>
        <w:rPr>
          <w:rFonts w:ascii="Arial"/>
          <w:color w:val="000000"/>
          <w:sz w:val="18"/>
        </w:rPr>
        <w:t>верфі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3" w:name="86"/>
      <w:bookmarkEnd w:id="92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літаків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4" w:name="87"/>
      <w:bookmarkEnd w:id="93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</w:t>
      </w:r>
      <w:r>
        <w:rPr>
          <w:rFonts w:ascii="Arial"/>
          <w:color w:val="000000"/>
          <w:sz w:val="18"/>
        </w:rPr>
        <w:t>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5" w:name="88"/>
      <w:bookmarkEnd w:id="94"/>
      <w:r>
        <w:rPr>
          <w:rFonts w:ascii="Arial"/>
          <w:color w:val="000000"/>
          <w:sz w:val="18"/>
        </w:rPr>
        <w:t>штампування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6" w:name="89"/>
      <w:bookmarkEnd w:id="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97" w:name="90"/>
      <w:bookmarkEnd w:id="96"/>
      <w:r>
        <w:rPr>
          <w:rFonts w:ascii="Arial"/>
          <w:color w:val="000000"/>
          <w:sz w:val="18"/>
        </w:rPr>
        <w:t>коксові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графіту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8" w:name="91"/>
      <w:bookmarkEnd w:id="97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цементного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клінкеру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99" w:name="92"/>
      <w:bookmarkEnd w:id="98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00" w:name="93"/>
      <w:bookmarkEnd w:id="99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01" w:name="94"/>
      <w:bookmarkEnd w:id="100"/>
      <w:r>
        <w:rPr>
          <w:rFonts w:ascii="Arial"/>
          <w:color w:val="000000"/>
          <w:sz w:val="18"/>
        </w:rPr>
        <w:t>виплавка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волокон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02" w:name="95"/>
      <w:bookmarkEnd w:id="101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покрівельної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черепиці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цегли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цегли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керамічної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фарфорових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кубічні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кубічний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03" w:name="96"/>
      <w:bookmarkEnd w:id="10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хімічну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промисловість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104" w:name="97"/>
      <w:bookmarkEnd w:id="103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05" w:name="98"/>
      <w:bookmarkEnd w:id="104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06" w:name="99"/>
      <w:bookmarkEnd w:id="105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107" w:name="100"/>
      <w:bookmarkEnd w:id="1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харчову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промисловість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108" w:name="101"/>
      <w:bookmarkEnd w:id="107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109" w:name="102"/>
      <w:bookmarkEnd w:id="108"/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0" w:name="103"/>
      <w:bookmarkEnd w:id="109"/>
      <w:r>
        <w:rPr>
          <w:rFonts w:ascii="Arial"/>
          <w:color w:val="000000"/>
          <w:sz w:val="18"/>
        </w:rPr>
        <w:lastRenderedPageBreak/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1" w:name="104"/>
      <w:bookmarkEnd w:id="110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2" w:name="105"/>
      <w:bookmarkEnd w:id="111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3" w:name="106"/>
      <w:bookmarkEnd w:id="112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крохмалю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4" w:name="107"/>
      <w:bookmarkEnd w:id="113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5" w:name="108"/>
      <w:bookmarkEnd w:id="114"/>
      <w:r>
        <w:rPr>
          <w:rFonts w:ascii="Arial"/>
          <w:color w:val="000000"/>
          <w:sz w:val="18"/>
        </w:rPr>
        <w:t>бійні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6" w:name="109"/>
      <w:bookmarkEnd w:id="115"/>
      <w:r>
        <w:rPr>
          <w:rFonts w:ascii="Arial"/>
          <w:color w:val="000000"/>
          <w:sz w:val="18"/>
        </w:rPr>
        <w:t>цукрові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7" w:name="110"/>
      <w:bookmarkEnd w:id="11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шкіряної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деревообробної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118" w:name="111"/>
      <w:bookmarkEnd w:id="11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мерсеризація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текстилю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19" w:name="112"/>
      <w:bookmarkEnd w:id="11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хутра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20" w:name="113"/>
      <w:bookmarkEnd w:id="11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21" w:name="114"/>
      <w:bookmarkEnd w:id="12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хімічне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деревоволокнис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деревообробне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просоченням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122" w:name="115"/>
      <w:bookmarkEnd w:id="12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23" w:name="116"/>
      <w:bookmarkEnd w:id="12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інфраструктурні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124" w:name="117"/>
      <w:bookmarkEnd w:id="123"/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індустріальних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25" w:name="118"/>
      <w:bookmarkEnd w:id="124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кінотеатрів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екранами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автостоянок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гектар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паркомісць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26" w:name="119"/>
      <w:bookmarkEnd w:id="125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аеродромів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злітно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посадк</w:t>
      </w:r>
      <w:r>
        <w:rPr>
          <w:rFonts w:ascii="Arial"/>
          <w:color w:val="000000"/>
          <w:sz w:val="18"/>
        </w:rPr>
        <w:t>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27" w:name="120"/>
      <w:bookmarkEnd w:id="126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28" w:name="121"/>
      <w:bookmarkEnd w:id="127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29" w:name="122"/>
      <w:bookmarkEnd w:id="128"/>
      <w:r>
        <w:rPr>
          <w:rFonts w:ascii="Arial"/>
          <w:color w:val="000000"/>
          <w:sz w:val="18"/>
        </w:rPr>
        <w:t>будівницт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30" w:name="123"/>
      <w:bookmarkEnd w:id="12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днопоглиблення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берегоукріплення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31" w:name="124"/>
      <w:bookmarkEnd w:id="130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трамвайних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фунікулерів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32" w:name="125"/>
      <w:bookmarkEnd w:id="131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33" w:name="126"/>
      <w:bookmarkEnd w:id="132"/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акведуків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далекі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34" w:name="127"/>
      <w:bookmarkEnd w:id="133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аміаку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135" w:name="601"/>
      <w:bookmarkEnd w:id="134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кіловольт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330 </w:t>
      </w:r>
      <w:r>
        <w:rPr>
          <w:rFonts w:ascii="Arial"/>
          <w:color w:val="000000"/>
          <w:sz w:val="18"/>
        </w:rPr>
        <w:t>кіловольт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  <w:jc w:val="right"/>
      </w:pPr>
      <w:bookmarkStart w:id="136" w:name="602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1657-IX)</w:t>
      </w:r>
    </w:p>
    <w:p w:rsidR="001E7F44" w:rsidRDefault="002E733D">
      <w:pPr>
        <w:spacing w:after="0"/>
        <w:ind w:firstLine="240"/>
      </w:pPr>
      <w:bookmarkStart w:id="137" w:name="129"/>
      <w:bookmarkEnd w:id="136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38" w:name="130"/>
      <w:bookmarkEnd w:id="137"/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</w:t>
      </w:r>
      <w:r>
        <w:rPr>
          <w:rFonts w:ascii="Arial"/>
          <w:color w:val="000000"/>
          <w:sz w:val="18"/>
        </w:rPr>
        <w:t>оководних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суходолі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мілководних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протипаводкових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39" w:name="131"/>
      <w:bookmarkEnd w:id="138"/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40" w:name="132"/>
      <w:bookmarkEnd w:id="139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узбережжя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звалища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днопоглиблювальних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41" w:name="133"/>
      <w:bookmarkEnd w:id="140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42" w:name="134"/>
      <w:bookmarkEnd w:id="14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143" w:name="135"/>
      <w:bookmarkEnd w:id="142"/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тестові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моторизованих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44" w:name="136"/>
      <w:bookmarkEnd w:id="143"/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двигунів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турбін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45" w:name="137"/>
      <w:bookmarkEnd w:id="144"/>
      <w:r>
        <w:rPr>
          <w:rFonts w:ascii="Arial"/>
          <w:color w:val="000000"/>
          <w:sz w:val="18"/>
        </w:rPr>
        <w:t>шламонакопичувачі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хвостосховища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46" w:name="138"/>
      <w:bookmarkEnd w:id="145"/>
      <w:r>
        <w:rPr>
          <w:rFonts w:ascii="Arial"/>
          <w:color w:val="000000"/>
          <w:sz w:val="18"/>
        </w:rPr>
        <w:lastRenderedPageBreak/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47" w:name="139"/>
      <w:bookmarkEnd w:id="146"/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перевалочні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металобрухту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гектара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48" w:name="616"/>
      <w:bookmarkEnd w:id="14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  <w:jc w:val="right"/>
      </w:pPr>
      <w:bookmarkStart w:id="149" w:name="617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1E7F44" w:rsidRDefault="002E733D">
      <w:pPr>
        <w:spacing w:after="0"/>
        <w:ind w:firstLine="240"/>
      </w:pPr>
      <w:bookmarkStart w:id="150" w:name="141"/>
      <w:bookmarkEnd w:id="149"/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знежирюван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гідроізолювання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калібрування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51" w:name="142"/>
      <w:bookmarkEnd w:id="150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еластомерів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52" w:name="143"/>
      <w:bookmarkEnd w:id="151"/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пінополістиролу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утеплювачів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асфальтобетону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53" w:name="144"/>
      <w:bookmarkEnd w:id="152"/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гравію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54" w:name="145"/>
      <w:bookmarkEnd w:id="153"/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інженерна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155" w:name="146"/>
      <w:bookmarkEnd w:id="154"/>
      <w:r>
        <w:rPr>
          <w:rFonts w:ascii="Arial"/>
          <w:color w:val="000000"/>
          <w:sz w:val="18"/>
        </w:rPr>
        <w:t>інтродукція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56" w:name="147"/>
      <w:bookmarkEnd w:id="155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57" w:name="148"/>
      <w:bookmarkEnd w:id="156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ракетного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58" w:name="149"/>
      <w:bookmarkEnd w:id="15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туризм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рекреацію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159" w:name="150"/>
      <w:bookmarkEnd w:id="158"/>
      <w:r>
        <w:rPr>
          <w:rFonts w:ascii="Arial"/>
          <w:color w:val="000000"/>
          <w:sz w:val="18"/>
        </w:rPr>
        <w:t>лижні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60" w:name="151"/>
      <w:bookmarkEnd w:id="159"/>
      <w:r>
        <w:rPr>
          <w:rFonts w:ascii="Arial"/>
          <w:color w:val="000000"/>
          <w:sz w:val="18"/>
        </w:rPr>
        <w:t>яхт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яхтові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61" w:name="152"/>
      <w:bookmarkEnd w:id="160"/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містечка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гектарів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містечка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містечка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курортними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62" w:name="153"/>
      <w:bookmarkEnd w:id="161"/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кемпінгу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автотуризму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гектар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63" w:name="154"/>
      <w:bookmarkEnd w:id="162"/>
      <w:r>
        <w:rPr>
          <w:rFonts w:ascii="Arial"/>
          <w:color w:val="000000"/>
          <w:sz w:val="18"/>
        </w:rPr>
        <w:t>гольфклуби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гектари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64" w:name="155"/>
      <w:bookmarkEnd w:id="163"/>
      <w:r>
        <w:rPr>
          <w:rFonts w:ascii="Arial"/>
          <w:color w:val="000000"/>
          <w:sz w:val="18"/>
        </w:rPr>
        <w:t>тематичні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гектар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65" w:name="156"/>
      <w:bookmarkEnd w:id="16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66" w:name="157"/>
      <w:bookmarkEnd w:id="16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1 - 13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67" w:name="158"/>
      <w:bookmarkEnd w:id="1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68" w:name="159"/>
      <w:bookmarkEnd w:id="1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69" w:name="160"/>
      <w:bookmarkEnd w:id="1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170" w:name="161"/>
      <w:bookmarkEnd w:id="16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Гласність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171" w:name="162"/>
      <w:bookmarkEnd w:id="1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адекватне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>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72" w:name="631"/>
      <w:bookmarkEnd w:id="1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розсил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173" w:name="636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174" w:name="632"/>
      <w:bookmarkEnd w:id="1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гарантуватим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175" w:name="637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176" w:name="633"/>
      <w:bookmarkEnd w:id="1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177" w:name="638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178" w:name="634"/>
      <w:bookmarkEnd w:id="1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179" w:name="639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180" w:name="635"/>
      <w:bookmarkEnd w:id="1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181" w:name="640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182" w:name="168"/>
      <w:bookmarkEnd w:id="18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83" w:name="169"/>
      <w:bookmarkEnd w:id="18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</w:t>
      </w:r>
      <w:r>
        <w:rPr>
          <w:rFonts w:ascii="Arial"/>
          <w:color w:val="000000"/>
          <w:sz w:val="18"/>
        </w:rPr>
        <w:t>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184" w:name="618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1E7F44" w:rsidRDefault="002E733D">
      <w:pPr>
        <w:spacing w:after="0"/>
        <w:ind w:firstLine="240"/>
      </w:pPr>
      <w:bookmarkStart w:id="185" w:name="641"/>
      <w:bookmarkEnd w:id="18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</w:t>
      </w:r>
      <w:r>
        <w:rPr>
          <w:rFonts w:ascii="Arial"/>
          <w:color w:val="000000"/>
          <w:sz w:val="18"/>
        </w:rPr>
        <w:t>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186" w:name="651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187" w:name="642"/>
      <w:bookmarkEnd w:id="18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88" w:name="643"/>
      <w:bookmarkEnd w:id="187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89" w:name="644"/>
      <w:bookmarkEnd w:id="188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містобудівним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90" w:name="645"/>
      <w:bookmarkEnd w:id="18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191" w:name="646"/>
      <w:bookmarkEnd w:id="190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192" w:name="650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193" w:name="652"/>
      <w:bookmarkEnd w:id="19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194" w:name="672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195" w:name="653"/>
      <w:bookmarkEnd w:id="19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196" w:name="654"/>
      <w:bookmarkEnd w:id="195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97" w:name="655"/>
      <w:bookmarkEnd w:id="19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98" w:name="656"/>
      <w:bookmarkEnd w:id="197"/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199" w:name="657"/>
      <w:bookmarkEnd w:id="198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00" w:name="658"/>
      <w:bookmarkEnd w:id="199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01" w:name="659"/>
      <w:bookmarkEnd w:id="200"/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02" w:name="660"/>
      <w:bookmarkEnd w:id="20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03" w:name="661"/>
      <w:bookmarkEnd w:id="202"/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04" w:name="662"/>
      <w:bookmarkEnd w:id="203"/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05" w:name="663"/>
      <w:bookmarkEnd w:id="204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06" w:name="664"/>
      <w:bookmarkEnd w:id="205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07" w:name="665"/>
      <w:bookmarkEnd w:id="206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08" w:name="666"/>
      <w:bookmarkEnd w:id="207"/>
      <w:r>
        <w:rPr>
          <w:rFonts w:ascii="Arial"/>
          <w:color w:val="000000"/>
          <w:sz w:val="18"/>
        </w:rPr>
        <w:t>виснов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09" w:name="667"/>
      <w:bookmarkEnd w:id="20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10" w:name="668"/>
      <w:bookmarkEnd w:id="209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11" w:name="669"/>
      <w:bookmarkEnd w:id="21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12" w:name="670"/>
      <w:bookmarkEnd w:id="21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13" w:name="671"/>
      <w:bookmarkEnd w:id="21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).</w:t>
      </w:r>
    </w:p>
    <w:p w:rsidR="001E7F44" w:rsidRDefault="002E733D">
      <w:pPr>
        <w:spacing w:after="0"/>
        <w:ind w:firstLine="240"/>
        <w:jc w:val="right"/>
      </w:pPr>
      <w:bookmarkStart w:id="214" w:name="673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pStyle w:val="3"/>
        <w:spacing w:after="0"/>
        <w:jc w:val="center"/>
      </w:pPr>
      <w:bookmarkStart w:id="215" w:name="172"/>
      <w:bookmarkEnd w:id="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плановану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деталізації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1E7F44" w:rsidRDefault="002E733D">
      <w:pPr>
        <w:spacing w:after="0"/>
        <w:ind w:firstLine="240"/>
      </w:pPr>
      <w:bookmarkStart w:id="216" w:name="674"/>
      <w:bookmarkEnd w:id="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>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17" w:name="585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18" w:name="174"/>
      <w:bookmarkEnd w:id="2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219" w:name="175"/>
      <w:bookmarkEnd w:id="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20" w:name="176"/>
      <w:bookmarkEnd w:id="2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21" w:name="177"/>
      <w:bookmarkEnd w:id="2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22" w:name="676"/>
      <w:bookmarkEnd w:id="221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  <w:jc w:val="right"/>
      </w:pPr>
      <w:bookmarkStart w:id="223" w:name="677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24" w:name="178"/>
      <w:bookmarkEnd w:id="2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25" w:name="179"/>
      <w:bookmarkEnd w:id="2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226" w:name="180"/>
      <w:bookmarkEnd w:id="2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альтернативами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27" w:name="181"/>
      <w:bookmarkEnd w:id="22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інженерну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альтернативами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28" w:name="182"/>
      <w:bookmarkEnd w:id="22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29" w:name="183"/>
      <w:bookmarkEnd w:id="22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30" w:name="184"/>
      <w:bookmarkEnd w:id="22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31" w:name="185"/>
      <w:bookmarkEnd w:id="23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планований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32" w:name="186"/>
      <w:bookmarkEnd w:id="23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33" w:name="187"/>
      <w:bookmarkEnd w:id="23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34" w:name="188"/>
      <w:bookmarkEnd w:id="23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35" w:name="189"/>
      <w:bookmarkEnd w:id="23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36" w:name="190"/>
      <w:bookmarkEnd w:id="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</w:t>
      </w:r>
      <w:r>
        <w:rPr>
          <w:rFonts w:ascii="Arial"/>
          <w:color w:val="000000"/>
          <w:sz w:val="18"/>
        </w:rPr>
        <w:t>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  <w:jc w:val="right"/>
      </w:pPr>
      <w:bookmarkStart w:id="237" w:name="586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38" w:name="191"/>
      <w:bookmarkEnd w:id="2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39" w:name="192"/>
      <w:bookmarkEnd w:id="2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</w:t>
      </w:r>
      <w:r>
        <w:rPr>
          <w:rFonts w:ascii="Arial"/>
          <w:color w:val="000000"/>
          <w:sz w:val="18"/>
        </w:rPr>
        <w:t>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40" w:name="193"/>
      <w:bookmarkEnd w:id="2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</w:t>
      </w:r>
      <w:r>
        <w:rPr>
          <w:rFonts w:ascii="Arial"/>
          <w:color w:val="000000"/>
          <w:sz w:val="18"/>
        </w:rPr>
        <w:t>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41" w:name="194"/>
      <w:bookmarkEnd w:id="2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42" w:name="195"/>
      <w:bookmarkEnd w:id="2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43" w:name="679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44" w:name="196"/>
      <w:bookmarkEnd w:id="24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45" w:name="680"/>
      <w:bookmarkEnd w:id="244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46" w:name="588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47" w:name="197"/>
      <w:bookmarkEnd w:id="2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48" w:name="682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49" w:name="683"/>
      <w:bookmarkEnd w:id="2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50" w:name="684"/>
      <w:bookmarkEnd w:id="24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51" w:name="686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52" w:name="685"/>
      <w:bookmarkEnd w:id="2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53" w:name="589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54" w:name="200"/>
      <w:bookmarkEnd w:id="253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55" w:name="688"/>
      <w:bookmarkEnd w:id="25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56" w:name="590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57" w:name="202"/>
      <w:bookmarkEnd w:id="25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</w:t>
      </w:r>
      <w:r>
        <w:rPr>
          <w:rFonts w:ascii="Arial"/>
          <w:color w:val="000000"/>
          <w:sz w:val="18"/>
        </w:rPr>
        <w:t>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258" w:name="203"/>
      <w:bookmarkEnd w:id="2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259" w:name="204"/>
      <w:bookmarkEnd w:id="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60" w:name="205"/>
      <w:bookmarkEnd w:id="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261" w:name="206"/>
      <w:bookmarkEnd w:id="2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262" w:name="207"/>
      <w:bookmarkEnd w:id="261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63" w:name="208"/>
      <w:bookmarkEnd w:id="262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64" w:name="209"/>
      <w:bookmarkEnd w:id="263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65" w:name="210"/>
      <w:bookmarkEnd w:id="264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біорізноманіття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66" w:name="211"/>
      <w:bookmarkEnd w:id="265"/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шумового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67" w:name="212"/>
      <w:bookmarkEnd w:id="2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68" w:name="213"/>
      <w:bookmarkEnd w:id="2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сценарій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69" w:name="214"/>
      <w:bookmarkEnd w:id="2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біорізноманіття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ландшафт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70" w:name="215"/>
      <w:bookmarkEnd w:id="2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кумулятивний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короткостроковий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зумовленого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271" w:name="216"/>
      <w:bookmarkEnd w:id="270"/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72" w:name="217"/>
      <w:bookmarkEnd w:id="271"/>
      <w:r>
        <w:rPr>
          <w:rFonts w:ascii="Arial"/>
          <w:color w:val="000000"/>
          <w:sz w:val="18"/>
        </w:rPr>
        <w:lastRenderedPageBreak/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біорізноманіття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73" w:name="218"/>
      <w:bookmarkEnd w:id="272"/>
      <w:r>
        <w:rPr>
          <w:rFonts w:ascii="Arial"/>
          <w:color w:val="000000"/>
          <w:sz w:val="18"/>
        </w:rPr>
        <w:t>викидами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шумовим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вібраційним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</w:t>
      </w:r>
      <w:r>
        <w:rPr>
          <w:rFonts w:ascii="Arial"/>
          <w:color w:val="000000"/>
          <w:sz w:val="18"/>
        </w:rPr>
        <w:t>тловим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  <w:jc w:val="right"/>
      </w:pPr>
      <w:bookmarkStart w:id="274" w:name="619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1E7F44" w:rsidRDefault="002E733D">
      <w:pPr>
        <w:spacing w:after="0"/>
        <w:ind w:firstLine="240"/>
      </w:pPr>
      <w:bookmarkStart w:id="275" w:name="219"/>
      <w:bookmarkEnd w:id="274"/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76" w:name="220"/>
      <w:bookmarkEnd w:id="275"/>
      <w:r>
        <w:rPr>
          <w:rFonts w:ascii="Arial"/>
          <w:color w:val="000000"/>
          <w:sz w:val="18"/>
        </w:rPr>
        <w:t>кумулятивним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77" w:name="221"/>
      <w:bookmarkEnd w:id="276"/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78" w:name="222"/>
      <w:bookmarkEnd w:id="277"/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79" w:name="223"/>
      <w:bookmarkEnd w:id="2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80" w:name="224"/>
      <w:bookmarkEnd w:id="2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81" w:name="225"/>
      <w:bookmarkEnd w:id="2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82" w:name="226"/>
      <w:bookmarkEnd w:id="28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труднощів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83" w:name="227"/>
      <w:bookmarkEnd w:id="28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84" w:name="228"/>
      <w:bookmarkEnd w:id="28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стислий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85" w:name="229"/>
      <w:bookmarkEnd w:id="28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1 - 11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аудиторію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286" w:name="230"/>
      <w:bookmarkEnd w:id="28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87" w:name="689"/>
      <w:bookmarkEnd w:id="2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88" w:name="592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89" w:name="232"/>
      <w:bookmarkEnd w:id="28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90" w:name="233"/>
      <w:bookmarkEnd w:id="2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91" w:name="691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92" w:name="692"/>
      <w:bookmarkEnd w:id="2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</w:t>
      </w:r>
      <w:r>
        <w:rPr>
          <w:rFonts w:ascii="Arial"/>
          <w:color w:val="000000"/>
          <w:sz w:val="18"/>
        </w:rPr>
        <w:t>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93" w:name="593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94" w:name="693"/>
      <w:bookmarkEnd w:id="2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295" w:name="594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296" w:name="236"/>
      <w:bookmarkEnd w:id="29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297" w:name="237"/>
      <w:bookmarkEnd w:id="29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298" w:name="238"/>
      <w:bookmarkEnd w:id="2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Громадське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обговорення</w:t>
      </w:r>
    </w:p>
    <w:p w:rsidR="001E7F44" w:rsidRDefault="002E733D">
      <w:pPr>
        <w:spacing w:after="0"/>
        <w:ind w:firstLine="240"/>
      </w:pPr>
      <w:bookmarkStart w:id="299" w:name="239"/>
      <w:bookmarkEnd w:id="2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00" w:name="240"/>
      <w:bookmarkEnd w:id="2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01" w:name="694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02" w:name="241"/>
      <w:bookmarkEnd w:id="3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03" w:name="242"/>
      <w:bookmarkEnd w:id="3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04" w:name="695"/>
      <w:bookmarkEnd w:id="3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</w:t>
      </w:r>
      <w:r>
        <w:rPr>
          <w:rFonts w:ascii="Arial"/>
          <w:color w:val="000000"/>
          <w:sz w:val="18"/>
        </w:rPr>
        <w:t>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05" w:name="697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06" w:name="696"/>
      <w:bookmarkEnd w:id="3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07" w:name="698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08" w:name="245"/>
      <w:bookmarkEnd w:id="30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09" w:name="246"/>
      <w:bookmarkEnd w:id="30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10" w:name="247"/>
      <w:bookmarkEnd w:id="30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311" w:name="248"/>
      <w:bookmarkEnd w:id="3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обговорення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312" w:name="249"/>
      <w:bookmarkEnd w:id="3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Оголоше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13" w:name="699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14" w:name="250"/>
      <w:bookmarkEnd w:id="3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Огол</w:t>
      </w:r>
      <w:r>
        <w:rPr>
          <w:rFonts w:ascii="Arial"/>
          <w:color w:val="000000"/>
          <w:sz w:val="18"/>
        </w:rPr>
        <w:t>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315" w:name="251"/>
      <w:bookmarkEnd w:id="3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316" w:name="252"/>
      <w:bookmarkEnd w:id="3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17" w:name="253"/>
      <w:bookmarkEnd w:id="3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18" w:name="254"/>
      <w:bookmarkEnd w:id="3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19" w:name="700"/>
      <w:bookmarkEnd w:id="3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  <w:jc w:val="right"/>
      </w:pPr>
      <w:bookmarkStart w:id="320" w:name="701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21" w:name="256"/>
      <w:bookmarkEnd w:id="320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22" w:name="257"/>
      <w:bookmarkEnd w:id="32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23" w:name="258"/>
      <w:bookmarkEnd w:id="32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24" w:name="259"/>
      <w:bookmarkEnd w:id="32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25" w:name="702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3227-IX)</w:t>
      </w:r>
    </w:p>
    <w:p w:rsidR="001E7F44" w:rsidRDefault="002E733D">
      <w:pPr>
        <w:spacing w:after="0"/>
        <w:ind w:firstLine="240"/>
      </w:pPr>
      <w:bookmarkStart w:id="326" w:name="703"/>
      <w:bookmarkEnd w:id="3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27" w:name="704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pStyle w:val="3"/>
        <w:spacing w:after="0"/>
        <w:jc w:val="center"/>
      </w:pPr>
      <w:bookmarkStart w:id="328" w:name="261"/>
      <w:bookmarkEnd w:id="3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Висновок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329" w:name="262"/>
      <w:bookmarkEnd w:id="3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кум</w:t>
      </w:r>
      <w:r>
        <w:rPr>
          <w:rFonts w:ascii="Arial"/>
          <w:color w:val="000000"/>
          <w:sz w:val="18"/>
        </w:rPr>
        <w:t>улятивний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короткостроковий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30" w:name="263"/>
      <w:bookmarkEnd w:id="3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31" w:name="705"/>
      <w:bookmarkEnd w:id="3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32" w:name="706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33" w:name="265"/>
      <w:bookmarkEnd w:id="3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334" w:name="266"/>
      <w:bookmarkEnd w:id="3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35" w:name="267"/>
      <w:bookmarkEnd w:id="3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36" w:name="268"/>
      <w:bookmarkEnd w:id="3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37" w:name="707"/>
      <w:bookmarkEnd w:id="3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38" w:name="708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39" w:name="269"/>
      <w:bookmarkEnd w:id="3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340" w:name="270"/>
      <w:bookmarkEnd w:id="3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41" w:name="271"/>
      <w:bookmarkEnd w:id="3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</w:t>
      </w:r>
      <w:r>
        <w:rPr>
          <w:rFonts w:ascii="Arial"/>
          <w:color w:val="000000"/>
          <w:sz w:val="18"/>
        </w:rPr>
        <w:t>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42" w:name="272"/>
      <w:bookmarkEnd w:id="3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43" w:name="273"/>
      <w:bookmarkEnd w:id="3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44" w:name="274"/>
      <w:bookmarkEnd w:id="3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45" w:name="275"/>
      <w:bookmarkEnd w:id="344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46" w:name="276"/>
      <w:bookmarkEnd w:id="34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347" w:name="277"/>
      <w:bookmarkEnd w:id="34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48" w:name="278"/>
      <w:bookmarkEnd w:id="347"/>
      <w:r>
        <w:rPr>
          <w:rFonts w:ascii="Arial"/>
          <w:color w:val="000000"/>
          <w:sz w:val="18"/>
        </w:rPr>
        <w:t>запобі</w:t>
      </w:r>
      <w:r>
        <w:rPr>
          <w:rFonts w:ascii="Arial"/>
          <w:color w:val="000000"/>
          <w:sz w:val="18"/>
        </w:rPr>
        <w:t>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49" w:name="279"/>
      <w:bookmarkEnd w:id="34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50" w:name="280"/>
      <w:bookmarkEnd w:id="34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51" w:name="281"/>
      <w:bookmarkEnd w:id="35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</w:t>
      </w:r>
      <w:r>
        <w:rPr>
          <w:rFonts w:ascii="Arial"/>
          <w:color w:val="000000"/>
          <w:sz w:val="18"/>
        </w:rPr>
        <w:t>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52" w:name="282"/>
      <w:bookmarkEnd w:id="3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</w:t>
      </w:r>
      <w:r>
        <w:rPr>
          <w:rFonts w:ascii="Arial"/>
          <w:color w:val="000000"/>
          <w:sz w:val="18"/>
        </w:rPr>
        <w:t>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53" w:name="709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54" w:name="710"/>
      <w:bookmarkEnd w:id="35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355" w:name="711"/>
      <w:bookmarkEnd w:id="3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борон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56" w:name="712"/>
      <w:bookmarkEnd w:id="3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57" w:name="713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>)</w:t>
      </w:r>
    </w:p>
    <w:p w:rsidR="001E7F44" w:rsidRDefault="002E733D">
      <w:pPr>
        <w:spacing w:after="0"/>
        <w:ind w:firstLine="240"/>
      </w:pPr>
      <w:bookmarkStart w:id="358" w:name="714"/>
      <w:bookmarkEnd w:id="3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59" w:name="716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60" w:name="284"/>
      <w:bookmarkEnd w:id="35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61" w:name="285"/>
      <w:bookmarkEnd w:id="36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схваленій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62" w:name="286"/>
      <w:bookmarkEnd w:id="36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363" w:name="718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висновку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364" w:name="719"/>
      <w:bookmarkEnd w:id="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365" w:name="720"/>
      <w:bookmarkEnd w:id="3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366" w:name="721"/>
      <w:bookmarkEnd w:id="36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67" w:name="722"/>
      <w:bookmarkEnd w:id="3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68" w:name="723"/>
      <w:bookmarkEnd w:id="3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69" w:name="724"/>
      <w:bookmarkEnd w:id="3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70" w:name="725"/>
      <w:bookmarkEnd w:id="3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</w:t>
      </w:r>
      <w:r>
        <w:rPr>
          <w:rFonts w:ascii="Arial"/>
          <w:color w:val="000000"/>
          <w:sz w:val="18"/>
        </w:rPr>
        <w:t>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71" w:name="726"/>
      <w:bookmarkEnd w:id="3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72" w:name="727"/>
      <w:bookmarkEnd w:id="3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73" w:name="728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pStyle w:val="3"/>
        <w:spacing w:after="0"/>
        <w:jc w:val="center"/>
      </w:pPr>
      <w:bookmarkStart w:id="374" w:name="287"/>
      <w:bookmarkEnd w:id="3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Експертні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375" w:name="288"/>
      <w:bookmarkEnd w:id="3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5, 9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76" w:name="289"/>
      <w:bookmarkEnd w:id="3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1E7F44" w:rsidRDefault="002E733D">
      <w:pPr>
        <w:pStyle w:val="3"/>
        <w:spacing w:after="0"/>
        <w:jc w:val="center"/>
      </w:pPr>
      <w:bookmarkStart w:id="377" w:name="290"/>
      <w:bookmarkEnd w:id="3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</w:t>
      </w:r>
      <w:r>
        <w:rPr>
          <w:rFonts w:ascii="Arial"/>
          <w:color w:val="000000"/>
          <w:sz w:val="27"/>
        </w:rPr>
        <w:t>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1E7F44" w:rsidRDefault="002E733D">
      <w:pPr>
        <w:spacing w:after="0"/>
        <w:ind w:firstLine="240"/>
      </w:pPr>
      <w:bookmarkStart w:id="378" w:name="291"/>
      <w:bookmarkEnd w:id="3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79" w:name="292"/>
      <w:bookmarkEnd w:id="3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80" w:name="293"/>
      <w:bookmarkEnd w:id="3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81" w:name="294"/>
      <w:bookmarkEnd w:id="38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82" w:name="729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383" w:name="295"/>
      <w:bookmarkEnd w:id="3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84" w:name="730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pStyle w:val="3"/>
        <w:spacing w:after="0"/>
        <w:jc w:val="center"/>
      </w:pPr>
      <w:bookmarkStart w:id="385" w:name="296"/>
      <w:bookmarkEnd w:id="3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386" w:name="297"/>
      <w:bookmarkEnd w:id="3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87" w:name="298"/>
      <w:bookmarkEnd w:id="3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388" w:name="299"/>
      <w:bookmarkEnd w:id="3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Післяпроектний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</w:t>
      </w:r>
    </w:p>
    <w:p w:rsidR="001E7F44" w:rsidRDefault="002E733D">
      <w:pPr>
        <w:spacing w:after="0"/>
        <w:ind w:firstLine="240"/>
      </w:pPr>
      <w:bookmarkStart w:id="389" w:name="300"/>
      <w:bookmarkEnd w:id="3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90" w:name="301"/>
      <w:bookmarkEnd w:id="3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91" w:name="302"/>
      <w:bookmarkEnd w:id="3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1 - 10,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392" w:name="303"/>
      <w:bookmarkEnd w:id="3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транскордонного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393" w:name="304"/>
      <w:bookmarkEnd w:id="3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94" w:name="305"/>
      <w:bookmarkEnd w:id="3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95" w:name="306"/>
      <w:bookmarkEnd w:id="3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396" w:name="307"/>
      <w:bookmarkEnd w:id="39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</w:t>
      </w:r>
      <w:r>
        <w:rPr>
          <w:rFonts w:ascii="Arial"/>
          <w:color w:val="000000"/>
          <w:sz w:val="18"/>
        </w:rPr>
        <w:t>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397" w:name="308"/>
      <w:bookmarkEnd w:id="3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398" w:name="309"/>
      <w:bookmarkEnd w:id="3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399" w:name="731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400" w:name="310"/>
      <w:bookmarkEnd w:id="3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01" w:name="311"/>
      <w:bookmarkEnd w:id="4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02" w:name="312"/>
      <w:bookmarkEnd w:id="4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).</w:t>
      </w:r>
    </w:p>
    <w:p w:rsidR="001E7F44" w:rsidRDefault="002E733D">
      <w:pPr>
        <w:spacing w:after="0"/>
        <w:ind w:firstLine="240"/>
      </w:pPr>
      <w:bookmarkStart w:id="403" w:name="313"/>
      <w:bookmarkEnd w:id="4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04" w:name="314"/>
      <w:bookmarkEnd w:id="40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05" w:name="315"/>
      <w:bookmarkEnd w:id="40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06" w:name="316"/>
      <w:bookmarkEnd w:id="40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07" w:name="317"/>
      <w:bookmarkEnd w:id="40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08" w:name="318"/>
      <w:bookmarkEnd w:id="40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09" w:name="319"/>
      <w:bookmarkEnd w:id="4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</w:t>
      </w:r>
      <w:r>
        <w:rPr>
          <w:rFonts w:ascii="Arial"/>
          <w:color w:val="000000"/>
          <w:sz w:val="18"/>
        </w:rPr>
        <w:t>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10" w:name="320"/>
      <w:bookmarkEnd w:id="4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незацікавленості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11" w:name="321"/>
      <w:bookmarkEnd w:id="4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12" w:name="322"/>
      <w:bookmarkEnd w:id="4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13" w:name="323"/>
      <w:bookmarkEnd w:id="4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14" w:name="324"/>
      <w:bookmarkEnd w:id="41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</w:t>
      </w:r>
      <w:r>
        <w:rPr>
          <w:rFonts w:ascii="Arial"/>
          <w:color w:val="000000"/>
          <w:sz w:val="18"/>
        </w:rPr>
        <w:t>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15" w:name="325"/>
      <w:bookmarkEnd w:id="41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</w:t>
      </w:r>
      <w:r>
        <w:rPr>
          <w:rFonts w:ascii="Arial"/>
          <w:color w:val="000000"/>
          <w:sz w:val="18"/>
        </w:rPr>
        <w:t>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416" w:name="326"/>
      <w:bookmarkEnd w:id="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417" w:name="327"/>
      <w:bookmarkEnd w:id="4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18" w:name="328"/>
      <w:bookmarkEnd w:id="4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19" w:name="329"/>
      <w:bookmarkEnd w:id="4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20" w:name="330"/>
      <w:bookmarkEnd w:id="4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21" w:name="331"/>
      <w:bookmarkEnd w:id="4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22" w:name="332"/>
      <w:bookmarkEnd w:id="4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23" w:name="333"/>
      <w:bookmarkEnd w:id="4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24" w:name="334"/>
      <w:bookmarkEnd w:id="4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25" w:name="335"/>
      <w:bookmarkEnd w:id="424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26" w:name="336"/>
      <w:bookmarkEnd w:id="4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427" w:name="337"/>
      <w:bookmarkEnd w:id="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Тимчасова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1E7F44" w:rsidRDefault="002E733D">
      <w:pPr>
        <w:spacing w:after="0"/>
        <w:ind w:firstLine="240"/>
      </w:pPr>
      <w:bookmarkStart w:id="428" w:name="338"/>
      <w:bookmarkEnd w:id="4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29" w:name="339"/>
      <w:bookmarkEnd w:id="4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30" w:name="340"/>
      <w:bookmarkEnd w:id="4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31" w:name="341"/>
      <w:bookmarkEnd w:id="4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32" w:name="342"/>
      <w:bookmarkEnd w:id="4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</w:t>
      </w:r>
      <w:r>
        <w:rPr>
          <w:rFonts w:ascii="Arial"/>
          <w:color w:val="000000"/>
          <w:sz w:val="18"/>
        </w:rPr>
        <w:t>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33" w:name="343"/>
      <w:bookmarkEnd w:id="4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34" w:name="344"/>
      <w:bookmarkEnd w:id="4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pStyle w:val="3"/>
        <w:spacing w:after="0"/>
        <w:jc w:val="center"/>
      </w:pPr>
      <w:bookmarkStart w:id="435" w:name="345"/>
      <w:bookmarkEnd w:id="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1E7F44" w:rsidRDefault="002E733D">
      <w:pPr>
        <w:spacing w:after="0"/>
        <w:ind w:firstLine="240"/>
      </w:pPr>
      <w:bookmarkStart w:id="436" w:name="346"/>
      <w:bookmarkEnd w:id="43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37" w:name="347"/>
      <w:bookmarkEnd w:id="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38" w:name="626"/>
      <w:bookmarkEnd w:id="43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</w:t>
      </w:r>
      <w:r>
        <w:rPr>
          <w:rFonts w:ascii="Arial"/>
          <w:color w:val="000000"/>
          <w:sz w:val="18"/>
        </w:rPr>
        <w:t>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439" w:name="600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733-IX,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1E7F44" w:rsidRDefault="002E733D">
      <w:pPr>
        <w:spacing w:after="0"/>
        <w:ind w:firstLine="240"/>
      </w:pPr>
      <w:bookmarkStart w:id="440" w:name="623"/>
      <w:bookmarkEnd w:id="43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>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оточенні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блокуванні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41" w:name="624"/>
      <w:bookmarkEnd w:id="44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  <w:jc w:val="right"/>
      </w:pPr>
      <w:bookmarkStart w:id="442" w:name="625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3227-IX)</w:t>
      </w:r>
    </w:p>
    <w:p w:rsidR="001E7F44" w:rsidRDefault="002E733D">
      <w:pPr>
        <w:spacing w:after="0"/>
        <w:ind w:firstLine="240"/>
      </w:pPr>
      <w:bookmarkStart w:id="443" w:name="348"/>
      <w:bookmarkEnd w:id="4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44" w:name="349"/>
      <w:bookmarkEnd w:id="4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45" w:name="350"/>
      <w:bookmarkEnd w:id="444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213;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31;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444;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428;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640);</w:t>
      </w:r>
    </w:p>
    <w:p w:rsidR="001E7F44" w:rsidRDefault="002E733D">
      <w:pPr>
        <w:spacing w:after="0"/>
        <w:ind w:firstLine="240"/>
      </w:pPr>
      <w:bookmarkStart w:id="446" w:name="351"/>
      <w:bookmarkEnd w:id="445"/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55).</w:t>
      </w:r>
    </w:p>
    <w:p w:rsidR="001E7F44" w:rsidRDefault="002E733D">
      <w:pPr>
        <w:spacing w:after="0"/>
        <w:ind w:firstLine="240"/>
      </w:pPr>
      <w:bookmarkStart w:id="447" w:name="352"/>
      <w:bookmarkEnd w:id="446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48" w:name="353"/>
      <w:bookmarkEnd w:id="4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1E7F44" w:rsidRDefault="002E733D">
      <w:pPr>
        <w:spacing w:after="0"/>
        <w:ind w:firstLine="240"/>
      </w:pPr>
      <w:bookmarkStart w:id="449" w:name="354"/>
      <w:bookmarkEnd w:id="448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jc w:val="center"/>
      </w:pPr>
      <w:bookmarkStart w:id="450" w:name="355"/>
      <w:bookmarkEnd w:id="44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91</w:t>
      </w:r>
      <w:r>
        <w:rPr>
          <w:rFonts w:ascii="Arial"/>
          <w:b/>
          <w:color w:val="000000"/>
          <w:vertAlign w:val="superscript"/>
        </w:rPr>
        <w:t>5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</w:p>
    <w:p w:rsidR="001E7F44" w:rsidRDefault="002E733D">
      <w:pPr>
        <w:spacing w:after="0"/>
        <w:ind w:firstLine="240"/>
      </w:pPr>
      <w:bookmarkStart w:id="451" w:name="356"/>
      <w:bookmarkEnd w:id="450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, -</w:t>
      </w:r>
    </w:p>
    <w:p w:rsidR="001E7F44" w:rsidRDefault="002E733D">
      <w:pPr>
        <w:spacing w:after="0"/>
        <w:ind w:firstLine="240"/>
      </w:pPr>
      <w:bookmarkStart w:id="452" w:name="357"/>
      <w:bookmarkEnd w:id="45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53" w:name="358"/>
      <w:bookmarkEnd w:id="452"/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-</w:t>
      </w:r>
    </w:p>
    <w:p w:rsidR="001E7F44" w:rsidRDefault="002E733D">
      <w:pPr>
        <w:spacing w:after="0"/>
        <w:ind w:firstLine="240"/>
      </w:pPr>
      <w:bookmarkStart w:id="454" w:name="359"/>
      <w:bookmarkEnd w:id="45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</w:t>
      </w:r>
      <w:r>
        <w:rPr>
          <w:rFonts w:ascii="Arial"/>
          <w:color w:val="000000"/>
          <w:sz w:val="18"/>
        </w:rPr>
        <w:t>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55" w:name="360"/>
      <w:bookmarkEnd w:id="454"/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13-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jc w:val="center"/>
      </w:pPr>
      <w:bookmarkStart w:id="456" w:name="361"/>
      <w:bookmarkEnd w:id="45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9-2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</w:p>
    <w:p w:rsidR="001E7F44" w:rsidRDefault="002E733D">
      <w:pPr>
        <w:spacing w:after="0"/>
        <w:ind w:firstLine="240"/>
      </w:pPr>
      <w:bookmarkStart w:id="457" w:name="362"/>
      <w:bookmarkEnd w:id="45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1E7F44" w:rsidRDefault="002E733D">
      <w:pPr>
        <w:spacing w:after="0"/>
        <w:ind w:firstLine="240"/>
      </w:pPr>
      <w:bookmarkStart w:id="458" w:name="363"/>
      <w:bookmarkEnd w:id="45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59" w:name="364"/>
      <w:bookmarkEnd w:id="458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1E7F44" w:rsidRDefault="002E733D">
      <w:pPr>
        <w:spacing w:after="0"/>
        <w:ind w:firstLine="240"/>
      </w:pPr>
      <w:bookmarkStart w:id="460" w:name="365"/>
      <w:bookmarkEnd w:id="45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461" w:name="366"/>
      <w:bookmarkEnd w:id="46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62" w:name="367"/>
      <w:bookmarkEnd w:id="4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63" w:name="368"/>
      <w:bookmarkEnd w:id="462"/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64" w:name="369"/>
      <w:bookmarkEnd w:id="46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65" w:name="370"/>
      <w:bookmarkEnd w:id="46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1E7F44" w:rsidRDefault="002E733D">
      <w:pPr>
        <w:spacing w:after="0"/>
        <w:ind w:firstLine="240"/>
      </w:pPr>
      <w:bookmarkStart w:id="466" w:name="371"/>
      <w:bookmarkEnd w:id="46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</w:t>
      </w:r>
      <w:r>
        <w:rPr>
          <w:rFonts w:ascii="Arial"/>
          <w:color w:val="000000"/>
          <w:sz w:val="18"/>
        </w:rPr>
        <w:t>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".</w:t>
      </w:r>
    </w:p>
    <w:p w:rsidR="001E7F44" w:rsidRDefault="002E733D">
      <w:pPr>
        <w:spacing w:after="0"/>
        <w:ind w:firstLine="240"/>
      </w:pPr>
      <w:bookmarkStart w:id="467" w:name="372"/>
      <w:bookmarkEnd w:id="4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68" w:name="373"/>
      <w:bookmarkEnd w:id="46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69" w:name="374"/>
      <w:bookmarkEnd w:id="4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88 - 88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90, 91,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98, 101 - 103"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88 - 88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90, 91,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98, 101 - 103";</w:t>
      </w:r>
    </w:p>
    <w:p w:rsidR="001E7F44" w:rsidRDefault="002E733D">
      <w:pPr>
        <w:spacing w:after="0"/>
        <w:ind w:firstLine="240"/>
      </w:pPr>
      <w:bookmarkStart w:id="470" w:name="375"/>
      <w:bookmarkEnd w:id="46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71" w:name="376"/>
      <w:bookmarkEnd w:id="4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255:</w:t>
      </w:r>
    </w:p>
    <w:p w:rsidR="001E7F44" w:rsidRDefault="002E733D">
      <w:pPr>
        <w:spacing w:after="0"/>
        <w:ind w:firstLine="240"/>
      </w:pPr>
      <w:bookmarkStart w:id="472" w:name="377"/>
      <w:bookmarkEnd w:id="47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73" w:name="378"/>
      <w:bookmarkEnd w:id="47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90, 91, 164 -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пестицидами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74" w:name="379"/>
      <w:bookmarkEnd w:id="47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90, 91,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164 -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континентал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пестицидами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75" w:name="380"/>
      <w:bookmarkEnd w:id="47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76" w:name="381"/>
      <w:bookmarkEnd w:id="47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, 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>);</w:t>
      </w:r>
    </w:p>
    <w:p w:rsidR="001E7F44" w:rsidRDefault="002E733D">
      <w:pPr>
        <w:spacing w:after="0"/>
        <w:ind w:firstLine="240"/>
      </w:pPr>
      <w:bookmarkStart w:id="477" w:name="382"/>
      <w:bookmarkEnd w:id="4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340):</w:t>
      </w:r>
    </w:p>
    <w:p w:rsidR="001E7F44" w:rsidRDefault="002E733D">
      <w:pPr>
        <w:spacing w:after="0"/>
        <w:ind w:firstLine="240"/>
      </w:pPr>
      <w:bookmarkStart w:id="478" w:name="383"/>
      <w:bookmarkEnd w:id="477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jc w:val="center"/>
      </w:pPr>
      <w:bookmarkStart w:id="479" w:name="384"/>
      <w:bookmarkEnd w:id="47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</w:p>
    <w:p w:rsidR="001E7F44" w:rsidRDefault="002E733D">
      <w:pPr>
        <w:spacing w:after="0"/>
        <w:ind w:firstLine="240"/>
      </w:pPr>
      <w:bookmarkStart w:id="480" w:name="385"/>
      <w:bookmarkEnd w:id="47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81" w:name="386"/>
      <w:bookmarkEnd w:id="4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82" w:name="387"/>
      <w:bookmarkEnd w:id="4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189):</w:t>
      </w:r>
    </w:p>
    <w:p w:rsidR="001E7F44" w:rsidRDefault="002E733D">
      <w:pPr>
        <w:spacing w:after="0"/>
        <w:ind w:firstLine="240"/>
      </w:pPr>
      <w:bookmarkStart w:id="483" w:name="388"/>
      <w:bookmarkEnd w:id="48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484" w:name="389"/>
      <w:bookmarkEnd w:id="48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85" w:name="390"/>
      <w:bookmarkEnd w:id="484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86" w:name="391"/>
      <w:bookmarkEnd w:id="4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1E7F44" w:rsidRDefault="002E733D">
      <w:pPr>
        <w:spacing w:after="0"/>
        <w:ind w:firstLine="240"/>
      </w:pPr>
      <w:bookmarkStart w:id="487" w:name="392"/>
      <w:bookmarkEnd w:id="486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jc w:val="center"/>
      </w:pPr>
      <w:bookmarkStart w:id="488" w:name="393"/>
      <w:bookmarkEnd w:id="48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22.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89" w:name="394"/>
      <w:bookmarkEnd w:id="488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90" w:name="395"/>
      <w:bookmarkEnd w:id="4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236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131)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91" w:name="396"/>
      <w:bookmarkEnd w:id="4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3 - 4,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92" w:name="397"/>
      <w:bookmarkEnd w:id="49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93" w:name="398"/>
      <w:bookmarkEnd w:id="49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170):</w:t>
      </w:r>
    </w:p>
    <w:p w:rsidR="001E7F44" w:rsidRDefault="002E733D">
      <w:pPr>
        <w:spacing w:after="0"/>
        <w:ind w:firstLine="240"/>
      </w:pPr>
      <w:bookmarkStart w:id="494" w:name="399"/>
      <w:bookmarkEnd w:id="4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95" w:name="400"/>
      <w:bookmarkEnd w:id="4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96" w:name="401"/>
      <w:bookmarkEnd w:id="49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497" w:name="402"/>
      <w:bookmarkEnd w:id="49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98" w:name="403"/>
      <w:bookmarkEnd w:id="4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48 - 49,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536)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499" w:name="404"/>
      <w:bookmarkEnd w:id="49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1E7F44" w:rsidRDefault="002E733D">
      <w:pPr>
        <w:spacing w:after="0"/>
        <w:ind w:firstLine="240"/>
      </w:pPr>
      <w:bookmarkStart w:id="500" w:name="405"/>
      <w:bookmarkEnd w:id="499"/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01" w:name="406"/>
      <w:bookmarkEnd w:id="50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02" w:name="407"/>
      <w:bookmarkEnd w:id="50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03" w:name="408"/>
      <w:bookmarkEnd w:id="50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04" w:name="409"/>
      <w:bookmarkEnd w:id="50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05" w:name="410"/>
      <w:bookmarkEnd w:id="5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06" w:name="411"/>
      <w:bookmarkEnd w:id="5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07" w:name="412"/>
      <w:bookmarkEnd w:id="5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20:</w:t>
      </w:r>
    </w:p>
    <w:p w:rsidR="001E7F44" w:rsidRDefault="002E733D">
      <w:pPr>
        <w:spacing w:after="0"/>
        <w:ind w:firstLine="240"/>
      </w:pPr>
      <w:bookmarkStart w:id="508" w:name="413"/>
      <w:bookmarkEnd w:id="5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09" w:name="414"/>
      <w:bookmarkEnd w:id="50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10" w:name="415"/>
      <w:bookmarkEnd w:id="509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11" w:name="416"/>
      <w:bookmarkEnd w:id="51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12" w:name="417"/>
      <w:bookmarkEnd w:id="5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13" w:name="418"/>
      <w:bookmarkEnd w:id="51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14" w:name="419"/>
      <w:bookmarkEnd w:id="51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15" w:name="420"/>
      <w:bookmarkEnd w:id="5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16" w:name="421"/>
      <w:bookmarkEnd w:id="5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17" w:name="422"/>
      <w:bookmarkEnd w:id="51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18" w:name="423"/>
      <w:bookmarkEnd w:id="51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19" w:name="424"/>
      <w:bookmarkEnd w:id="51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20" w:name="425"/>
      <w:bookmarkEnd w:id="51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21" w:name="426"/>
      <w:bookmarkEnd w:id="52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22" w:name="427"/>
      <w:bookmarkEnd w:id="52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23" w:name="428"/>
      <w:bookmarkEnd w:id="522"/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24" w:name="429"/>
      <w:bookmarkEnd w:id="5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25" w:name="430"/>
      <w:bookmarkEnd w:id="5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68:</w:t>
      </w:r>
    </w:p>
    <w:p w:rsidR="001E7F44" w:rsidRDefault="002E733D">
      <w:pPr>
        <w:spacing w:after="0"/>
        <w:ind w:firstLine="240"/>
      </w:pPr>
      <w:bookmarkStart w:id="526" w:name="431"/>
      <w:bookmarkEnd w:id="525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27" w:name="432"/>
      <w:bookmarkEnd w:id="52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28" w:name="433"/>
      <w:bookmarkEnd w:id="52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29" w:name="434"/>
      <w:bookmarkEnd w:id="52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30" w:name="435"/>
      <w:bookmarkEnd w:id="52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31" w:name="436"/>
      <w:bookmarkEnd w:id="53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1E7F44" w:rsidRDefault="002E733D">
      <w:pPr>
        <w:spacing w:after="0"/>
        <w:ind w:firstLine="240"/>
      </w:pPr>
      <w:bookmarkStart w:id="532" w:name="437"/>
      <w:bookmarkEnd w:id="5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33" w:name="438"/>
      <w:bookmarkEnd w:id="53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502;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112):</w:t>
      </w:r>
    </w:p>
    <w:p w:rsidR="001E7F44" w:rsidRDefault="002E733D">
      <w:pPr>
        <w:spacing w:after="0"/>
        <w:ind w:firstLine="240"/>
      </w:pPr>
      <w:bookmarkStart w:id="534" w:name="439"/>
      <w:bookmarkEnd w:id="53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35" w:name="440"/>
      <w:bookmarkEnd w:id="53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</w:t>
      </w:r>
      <w:r>
        <w:rPr>
          <w:rFonts w:ascii="Arial"/>
          <w:color w:val="000000"/>
          <w:sz w:val="18"/>
        </w:rPr>
        <w:t>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36" w:name="441"/>
      <w:bookmarkEnd w:id="5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40:</w:t>
      </w:r>
    </w:p>
    <w:p w:rsidR="001E7F44" w:rsidRDefault="002E733D">
      <w:pPr>
        <w:spacing w:after="0"/>
        <w:ind w:firstLine="240"/>
      </w:pPr>
      <w:bookmarkStart w:id="537" w:name="442"/>
      <w:bookmarkEnd w:id="5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38" w:name="443"/>
      <w:bookmarkEnd w:id="5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39" w:name="444"/>
      <w:bookmarkEnd w:id="53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40" w:name="445"/>
      <w:bookmarkEnd w:id="53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338)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41" w:name="446"/>
      <w:bookmarkEnd w:id="54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81;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236;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362;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486;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41):</w:t>
      </w:r>
    </w:p>
    <w:p w:rsidR="001E7F44" w:rsidRDefault="002E733D">
      <w:pPr>
        <w:spacing w:after="0"/>
        <w:ind w:firstLine="240"/>
      </w:pPr>
      <w:bookmarkStart w:id="542" w:name="447"/>
      <w:bookmarkEnd w:id="54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43" w:name="448"/>
      <w:bookmarkEnd w:id="5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37:</w:t>
      </w:r>
    </w:p>
    <w:p w:rsidR="001E7F44" w:rsidRDefault="002E733D">
      <w:pPr>
        <w:spacing w:after="0"/>
        <w:ind w:firstLine="240"/>
      </w:pPr>
      <w:bookmarkStart w:id="544" w:name="449"/>
      <w:bookmarkEnd w:id="54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45" w:name="450"/>
      <w:bookmarkEnd w:id="544"/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46" w:name="451"/>
      <w:bookmarkEnd w:id="5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40:</w:t>
      </w:r>
    </w:p>
    <w:p w:rsidR="001E7F44" w:rsidRDefault="002E733D">
      <w:pPr>
        <w:spacing w:after="0"/>
        <w:ind w:firstLine="240"/>
      </w:pPr>
      <w:bookmarkStart w:id="547" w:name="452"/>
      <w:bookmarkEnd w:id="54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48" w:name="453"/>
      <w:bookmarkEnd w:id="5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49" w:name="454"/>
      <w:bookmarkEnd w:id="5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50" w:name="455"/>
      <w:bookmarkEnd w:id="54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91;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362;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640):</w:t>
      </w:r>
    </w:p>
    <w:p w:rsidR="001E7F44" w:rsidRDefault="002E733D">
      <w:pPr>
        <w:spacing w:after="0"/>
        <w:ind w:firstLine="240"/>
      </w:pPr>
      <w:bookmarkStart w:id="551" w:name="456"/>
      <w:bookmarkEnd w:id="55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52" w:name="457"/>
      <w:bookmarkEnd w:id="55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53" w:name="458"/>
      <w:bookmarkEnd w:id="55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198;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236;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362):</w:t>
      </w:r>
    </w:p>
    <w:p w:rsidR="001E7F44" w:rsidRDefault="002E733D">
      <w:pPr>
        <w:spacing w:after="0"/>
        <w:ind w:firstLine="240"/>
      </w:pPr>
      <w:bookmarkStart w:id="554" w:name="459"/>
      <w:bookmarkEnd w:id="55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55" w:name="460"/>
      <w:bookmarkEnd w:id="5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1E7F44" w:rsidRDefault="002E733D">
      <w:pPr>
        <w:spacing w:after="0"/>
        <w:ind w:firstLine="240"/>
      </w:pPr>
      <w:bookmarkStart w:id="556" w:name="461"/>
      <w:bookmarkEnd w:id="55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57" w:name="462"/>
      <w:bookmarkEnd w:id="55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58" w:name="463"/>
      <w:bookmarkEnd w:id="55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59" w:name="464"/>
      <w:bookmarkEnd w:id="55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60" w:name="465"/>
      <w:bookmarkEnd w:id="559"/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61" w:name="466"/>
      <w:bookmarkEnd w:id="56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62" w:name="467"/>
      <w:bookmarkEnd w:id="56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139)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63" w:name="468"/>
      <w:bookmarkEnd w:id="56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11 - 12,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39):</w:t>
      </w:r>
    </w:p>
    <w:p w:rsidR="001E7F44" w:rsidRDefault="002E733D">
      <w:pPr>
        <w:spacing w:after="0"/>
        <w:ind w:firstLine="240"/>
      </w:pPr>
      <w:bookmarkStart w:id="564" w:name="469"/>
      <w:bookmarkEnd w:id="5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65" w:name="470"/>
      <w:bookmarkEnd w:id="5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</w:t>
      </w:r>
      <w:r>
        <w:rPr>
          <w:rFonts w:ascii="Arial"/>
          <w:color w:val="000000"/>
          <w:sz w:val="18"/>
        </w:rPr>
        <w:t>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66" w:name="471"/>
      <w:bookmarkEnd w:id="56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36 - 37,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1E7F44" w:rsidRDefault="002E733D">
      <w:pPr>
        <w:spacing w:after="0"/>
        <w:ind w:firstLine="240"/>
      </w:pPr>
      <w:bookmarkStart w:id="567" w:name="472"/>
      <w:bookmarkEnd w:id="566"/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jc w:val="center"/>
      </w:pPr>
      <w:bookmarkStart w:id="568" w:name="473"/>
      <w:bookmarkEnd w:id="56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</w:p>
    <w:p w:rsidR="001E7F44" w:rsidRDefault="002E733D">
      <w:pPr>
        <w:spacing w:after="0"/>
        <w:ind w:firstLine="240"/>
      </w:pPr>
      <w:bookmarkStart w:id="569" w:name="474"/>
      <w:bookmarkEnd w:id="568"/>
      <w:r>
        <w:rPr>
          <w:rFonts w:ascii="Arial"/>
          <w:color w:val="000000"/>
          <w:sz w:val="18"/>
        </w:rPr>
        <w:lastRenderedPageBreak/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70" w:name="475"/>
      <w:bookmarkEnd w:id="56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71" w:name="476"/>
      <w:bookmarkEnd w:id="57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72" w:name="477"/>
      <w:bookmarkEnd w:id="57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73" w:name="478"/>
      <w:bookmarkEnd w:id="57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74" w:name="479"/>
      <w:bookmarkEnd w:id="57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75" w:name="480"/>
      <w:bookmarkEnd w:id="57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76" w:name="481"/>
      <w:bookmarkEnd w:id="57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22 - 23,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198):</w:t>
      </w:r>
    </w:p>
    <w:p w:rsidR="001E7F44" w:rsidRDefault="002E733D">
      <w:pPr>
        <w:spacing w:after="0"/>
        <w:ind w:firstLine="240"/>
      </w:pPr>
      <w:bookmarkStart w:id="577" w:name="482"/>
      <w:bookmarkEnd w:id="5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78" w:name="483"/>
      <w:bookmarkEnd w:id="5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28:</w:t>
      </w:r>
    </w:p>
    <w:p w:rsidR="001E7F44" w:rsidRDefault="002E733D">
      <w:pPr>
        <w:spacing w:after="0"/>
        <w:ind w:firstLine="240"/>
      </w:pPr>
      <w:bookmarkStart w:id="579" w:name="484"/>
      <w:bookmarkEnd w:id="5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80" w:name="485"/>
      <w:bookmarkEnd w:id="579"/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81" w:name="486"/>
      <w:bookmarkEnd w:id="580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246;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82" w:name="487"/>
      <w:bookmarkEnd w:id="581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391;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47):</w:t>
      </w:r>
    </w:p>
    <w:p w:rsidR="001E7F44" w:rsidRDefault="002E733D">
      <w:pPr>
        <w:spacing w:after="0"/>
        <w:ind w:firstLine="240"/>
      </w:pPr>
      <w:bookmarkStart w:id="583" w:name="488"/>
      <w:bookmarkEnd w:id="58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584" w:name="489"/>
      <w:bookmarkEnd w:id="5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585" w:name="490"/>
      <w:bookmarkEnd w:id="58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86" w:name="491"/>
      <w:bookmarkEnd w:id="58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87" w:name="492"/>
      <w:bookmarkEnd w:id="58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433;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172;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138;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682):</w:t>
      </w:r>
    </w:p>
    <w:p w:rsidR="001E7F44" w:rsidRDefault="002E733D">
      <w:pPr>
        <w:spacing w:after="0"/>
        <w:ind w:firstLine="240"/>
      </w:pPr>
      <w:bookmarkStart w:id="588" w:name="493"/>
      <w:bookmarkEnd w:id="5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89" w:name="494"/>
      <w:bookmarkEnd w:id="5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90" w:name="495"/>
      <w:bookmarkEnd w:id="5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1E7F44" w:rsidRDefault="002E733D">
      <w:pPr>
        <w:spacing w:after="0"/>
        <w:ind w:firstLine="240"/>
      </w:pPr>
      <w:bookmarkStart w:id="591" w:name="496"/>
      <w:bookmarkEnd w:id="5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>)";</w:t>
      </w:r>
    </w:p>
    <w:p w:rsidR="001E7F44" w:rsidRDefault="002E733D">
      <w:pPr>
        <w:spacing w:after="0"/>
        <w:ind w:firstLine="240"/>
      </w:pPr>
      <w:bookmarkStart w:id="592" w:name="497"/>
      <w:bookmarkEnd w:id="59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93" w:name="498"/>
      <w:bookmarkEnd w:id="5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94" w:name="499"/>
      <w:bookmarkEnd w:id="59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95)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95" w:name="500"/>
      <w:bookmarkEnd w:id="594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435;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2 - 3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41):</w:t>
      </w:r>
    </w:p>
    <w:p w:rsidR="001E7F44" w:rsidRDefault="002E733D">
      <w:pPr>
        <w:spacing w:after="0"/>
        <w:ind w:firstLine="240"/>
      </w:pPr>
      <w:bookmarkStart w:id="596" w:name="501"/>
      <w:bookmarkEnd w:id="5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експертизам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97" w:name="502"/>
      <w:bookmarkEnd w:id="596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98" w:name="503"/>
      <w:bookmarkEnd w:id="5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599" w:name="504"/>
      <w:bookmarkEnd w:id="598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252)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jc w:val="center"/>
      </w:pPr>
      <w:bookmarkStart w:id="600" w:name="505"/>
      <w:bookmarkEnd w:id="59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25.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санітарно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гігієнічна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експертиза</w:t>
      </w:r>
    </w:p>
    <w:p w:rsidR="001E7F44" w:rsidRDefault="002E733D">
      <w:pPr>
        <w:spacing w:after="0"/>
        <w:ind w:firstLine="240"/>
      </w:pPr>
      <w:bookmarkStart w:id="601" w:name="506"/>
      <w:bookmarkEnd w:id="60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02" w:name="507"/>
      <w:bookmarkEnd w:id="601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262;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324;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272;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41):</w:t>
      </w:r>
    </w:p>
    <w:p w:rsidR="001E7F44" w:rsidRDefault="002E733D">
      <w:pPr>
        <w:spacing w:after="0"/>
        <w:ind w:firstLine="240"/>
      </w:pPr>
      <w:bookmarkStart w:id="603" w:name="508"/>
      <w:bookmarkEnd w:id="60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04" w:name="509"/>
      <w:bookmarkEnd w:id="60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05" w:name="510"/>
      <w:bookmarkEnd w:id="604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06" w:name="511"/>
      <w:bookmarkEnd w:id="60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07" w:name="512"/>
      <w:bookmarkEnd w:id="60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08" w:name="513"/>
      <w:bookmarkEnd w:id="6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09" w:name="514"/>
      <w:bookmarkEnd w:id="608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97):</w:t>
      </w:r>
    </w:p>
    <w:p w:rsidR="001E7F44" w:rsidRDefault="002E733D">
      <w:pPr>
        <w:spacing w:after="0"/>
        <w:ind w:firstLine="240"/>
      </w:pPr>
      <w:bookmarkStart w:id="610" w:name="515"/>
      <w:bookmarkEnd w:id="60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11" w:name="516"/>
      <w:bookmarkEnd w:id="6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12" w:name="517"/>
      <w:bookmarkEnd w:id="6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13" w:name="518"/>
      <w:bookmarkEnd w:id="61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14" w:name="519"/>
      <w:bookmarkEnd w:id="61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15" w:name="520"/>
      <w:bookmarkEnd w:id="614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112):</w:t>
      </w:r>
    </w:p>
    <w:p w:rsidR="001E7F44" w:rsidRDefault="002E733D">
      <w:pPr>
        <w:spacing w:after="0"/>
        <w:ind w:firstLine="240"/>
      </w:pPr>
      <w:bookmarkStart w:id="616" w:name="521"/>
      <w:bookmarkEnd w:id="6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17" w:name="522"/>
      <w:bookmarkEnd w:id="61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18" w:name="523"/>
      <w:bookmarkEnd w:id="61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19" w:name="524"/>
      <w:bookmarkEnd w:id="61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20" w:name="525"/>
      <w:bookmarkEnd w:id="619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201;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195)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21" w:name="526"/>
      <w:bookmarkEnd w:id="620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349)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22" w:name="605"/>
      <w:bookmarkEnd w:id="621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300"/>
        <w:ind w:firstLine="240"/>
      </w:pPr>
      <w:bookmarkStart w:id="623" w:name="603"/>
      <w:bookmarkEnd w:id="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1280-IV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1E7F44" w:rsidRDefault="002E733D">
      <w:pPr>
        <w:spacing w:after="0"/>
        <w:ind w:firstLine="240"/>
      </w:pPr>
      <w:bookmarkStart w:id="624" w:name="528"/>
      <w:bookmarkEnd w:id="623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138)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25" w:name="529"/>
      <w:bookmarkEnd w:id="624"/>
      <w:r>
        <w:rPr>
          <w:rFonts w:ascii="Arial"/>
          <w:color w:val="000000"/>
          <w:sz w:val="18"/>
        </w:rPr>
        <w:lastRenderedPageBreak/>
        <w:t xml:space="preserve">32)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нодержавне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555;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759)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26" w:name="530"/>
      <w:bookmarkEnd w:id="62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27" w:name="531"/>
      <w:bookmarkEnd w:id="626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279):</w:t>
      </w:r>
    </w:p>
    <w:p w:rsidR="001E7F44" w:rsidRDefault="002E733D">
      <w:pPr>
        <w:spacing w:after="0"/>
        <w:ind w:firstLine="240"/>
      </w:pPr>
      <w:bookmarkStart w:id="628" w:name="532"/>
      <w:bookmarkEnd w:id="62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29" w:name="533"/>
      <w:bookmarkEnd w:id="62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30" w:name="611"/>
      <w:bookmarkEnd w:id="629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1E7F44" w:rsidRDefault="002E733D">
      <w:pPr>
        <w:spacing w:after="300"/>
        <w:ind w:firstLine="240"/>
      </w:pPr>
      <w:bookmarkStart w:id="631" w:name="609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142-V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1E7F44" w:rsidRDefault="002E733D">
      <w:pPr>
        <w:spacing w:after="0"/>
        <w:ind w:firstLine="240"/>
      </w:pPr>
      <w:bookmarkStart w:id="632" w:name="535"/>
      <w:bookmarkEnd w:id="631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484;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640):</w:t>
      </w:r>
    </w:p>
    <w:p w:rsidR="001E7F44" w:rsidRDefault="002E733D">
      <w:pPr>
        <w:spacing w:after="0"/>
        <w:ind w:firstLine="240"/>
      </w:pPr>
      <w:bookmarkStart w:id="633" w:name="536"/>
      <w:bookmarkEnd w:id="63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34" w:name="537"/>
      <w:bookmarkEnd w:id="63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ГМО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35" w:name="538"/>
      <w:bookmarkEnd w:id="634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345;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236):</w:t>
      </w:r>
    </w:p>
    <w:p w:rsidR="001E7F44" w:rsidRDefault="002E733D">
      <w:pPr>
        <w:spacing w:after="0"/>
        <w:ind w:firstLine="240"/>
      </w:pPr>
      <w:bookmarkStart w:id="636" w:name="539"/>
      <w:bookmarkEnd w:id="6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31:</w:t>
      </w:r>
    </w:p>
    <w:p w:rsidR="001E7F44" w:rsidRDefault="002E733D">
      <w:pPr>
        <w:spacing w:after="0"/>
        <w:ind w:firstLine="240"/>
      </w:pPr>
      <w:bookmarkStart w:id="637" w:name="540"/>
      <w:bookmarkEnd w:id="63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38" w:name="541"/>
      <w:bookmarkEnd w:id="63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39" w:name="542"/>
      <w:bookmarkEnd w:id="63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40" w:name="543"/>
      <w:bookmarkEnd w:id="639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1E7F44" w:rsidRDefault="002E733D">
      <w:pPr>
        <w:spacing w:after="0"/>
        <w:ind w:firstLine="240"/>
      </w:pPr>
      <w:bookmarkStart w:id="641" w:name="544"/>
      <w:bookmarkEnd w:id="6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42" w:name="545"/>
      <w:bookmarkEnd w:id="64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43" w:name="546"/>
      <w:bookmarkEnd w:id="6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37:</w:t>
      </w:r>
    </w:p>
    <w:p w:rsidR="001E7F44" w:rsidRDefault="002E733D">
      <w:pPr>
        <w:spacing w:after="0"/>
        <w:ind w:firstLine="240"/>
      </w:pPr>
      <w:bookmarkStart w:id="644" w:name="547"/>
      <w:bookmarkEnd w:id="64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45" w:name="548"/>
      <w:bookmarkEnd w:id="644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1E7F44" w:rsidRDefault="002E733D">
      <w:pPr>
        <w:spacing w:after="0"/>
        <w:ind w:firstLine="240"/>
      </w:pPr>
      <w:bookmarkStart w:id="646" w:name="549"/>
      <w:bookmarkEnd w:id="6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47" w:name="550"/>
      <w:bookmarkEnd w:id="646"/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48" w:name="551"/>
      <w:bookmarkEnd w:id="647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1E7F44" w:rsidRDefault="002E733D">
      <w:pPr>
        <w:spacing w:after="0"/>
        <w:ind w:firstLine="240"/>
      </w:pPr>
      <w:bookmarkStart w:id="649" w:name="552"/>
      <w:bookmarkEnd w:id="6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50" w:name="553"/>
      <w:bookmarkEnd w:id="649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2"/>
        <w:gridCol w:w="6250"/>
        <w:gridCol w:w="2331"/>
      </w:tblGrid>
      <w:tr w:rsidR="001E7F44">
        <w:trPr>
          <w:trHeight w:val="30"/>
          <w:tblCellSpacing w:w="0" w:type="auto"/>
        </w:trPr>
        <w:tc>
          <w:tcPr>
            <w:tcW w:w="679" w:type="dxa"/>
            <w:vAlign w:val="center"/>
          </w:tcPr>
          <w:p w:rsidR="001E7F44" w:rsidRDefault="002E733D">
            <w:pPr>
              <w:spacing w:after="0"/>
              <w:jc w:val="center"/>
            </w:pPr>
            <w:bookmarkStart w:id="651" w:name="578"/>
            <w:bookmarkEnd w:id="650"/>
            <w:r>
              <w:rPr>
                <w:rFonts w:ascii="Arial"/>
                <w:color w:val="000000"/>
                <w:sz w:val="15"/>
              </w:rPr>
              <w:t>"4.</w:t>
            </w:r>
          </w:p>
        </w:tc>
        <w:tc>
          <w:tcPr>
            <w:tcW w:w="6589" w:type="dxa"/>
            <w:vAlign w:val="center"/>
          </w:tcPr>
          <w:p w:rsidR="001E7F44" w:rsidRDefault="002E733D">
            <w:pPr>
              <w:spacing w:after="0"/>
            </w:pPr>
            <w:bookmarkStart w:id="652" w:name="576"/>
            <w:bookmarkEnd w:id="651"/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</w:p>
        </w:tc>
        <w:tc>
          <w:tcPr>
            <w:tcW w:w="2422" w:type="dxa"/>
            <w:vAlign w:val="center"/>
          </w:tcPr>
          <w:p w:rsidR="001E7F44" w:rsidRDefault="002E733D">
            <w:pPr>
              <w:spacing w:after="0"/>
            </w:pPr>
            <w:bookmarkStart w:id="653" w:name="577"/>
            <w:bookmarkEnd w:id="652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";</w:t>
            </w:r>
          </w:p>
        </w:tc>
        <w:bookmarkEnd w:id="653"/>
      </w:tr>
    </w:tbl>
    <w:p w:rsidR="001E7F44" w:rsidRDefault="002E733D">
      <w:r>
        <w:br/>
      </w:r>
    </w:p>
    <w:p w:rsidR="001E7F44" w:rsidRDefault="002E733D">
      <w:pPr>
        <w:spacing w:after="0"/>
        <w:ind w:firstLine="240"/>
      </w:pPr>
      <w:bookmarkStart w:id="654" w:name="555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аквакультуру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616)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55" w:name="556"/>
      <w:bookmarkEnd w:id="654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781)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56" w:name="557"/>
      <w:bookmarkEnd w:id="655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57" w:name="558"/>
      <w:bookmarkEnd w:id="656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1817-VIII:</w:t>
      </w:r>
    </w:p>
    <w:p w:rsidR="001E7F44" w:rsidRDefault="002E733D">
      <w:pPr>
        <w:spacing w:after="0"/>
        <w:ind w:firstLine="240"/>
      </w:pPr>
      <w:bookmarkStart w:id="658" w:name="559"/>
      <w:bookmarkEnd w:id="657"/>
      <w:r>
        <w:rPr>
          <w:rFonts w:ascii="Arial"/>
          <w:color w:val="000000"/>
          <w:sz w:val="18"/>
        </w:rPr>
        <w:lastRenderedPageBreak/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59" w:name="560"/>
      <w:bookmarkEnd w:id="65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1E7F44" w:rsidRDefault="002E733D">
      <w:pPr>
        <w:spacing w:after="0"/>
        <w:ind w:firstLine="240"/>
      </w:pPr>
      <w:bookmarkStart w:id="660" w:name="561"/>
      <w:bookmarkEnd w:id="65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</w:t>
      </w:r>
      <w:r>
        <w:rPr>
          <w:rFonts w:ascii="Arial"/>
          <w:color w:val="000000"/>
          <w:sz w:val="18"/>
        </w:rPr>
        <w:t>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1E7F44" w:rsidRDefault="002E733D">
      <w:pPr>
        <w:spacing w:after="0"/>
        <w:ind w:firstLine="240"/>
      </w:pPr>
      <w:bookmarkStart w:id="661" w:name="562"/>
      <w:bookmarkEnd w:id="66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1E7F44" w:rsidRDefault="002E733D">
      <w:pPr>
        <w:spacing w:after="0"/>
        <w:ind w:firstLine="240"/>
      </w:pPr>
      <w:bookmarkStart w:id="662" w:name="563"/>
      <w:bookmarkEnd w:id="66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63" w:name="564"/>
      <w:bookmarkEnd w:id="662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E7F44" w:rsidRDefault="002E733D">
      <w:pPr>
        <w:spacing w:after="0"/>
        <w:ind w:firstLine="240"/>
      </w:pPr>
      <w:bookmarkStart w:id="664" w:name="565"/>
      <w:bookmarkEnd w:id="66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E7F44" w:rsidRDefault="002E733D">
      <w:pPr>
        <w:spacing w:after="0"/>
        <w:ind w:firstLine="240"/>
      </w:pPr>
      <w:bookmarkStart w:id="665" w:name="566"/>
      <w:bookmarkEnd w:id="66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1E7F4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E7F44" w:rsidRDefault="002E733D">
            <w:pPr>
              <w:spacing w:after="0"/>
              <w:jc w:val="center"/>
            </w:pPr>
            <w:bookmarkStart w:id="666" w:name="567"/>
            <w:bookmarkEnd w:id="66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1E7F44" w:rsidRDefault="002E733D">
            <w:pPr>
              <w:spacing w:after="0"/>
              <w:jc w:val="center"/>
            </w:pPr>
            <w:bookmarkStart w:id="667" w:name="568"/>
            <w:bookmarkEnd w:id="666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667"/>
      </w:tr>
      <w:tr w:rsidR="001E7F4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1E7F44" w:rsidRDefault="002E733D">
            <w:pPr>
              <w:spacing w:after="0"/>
              <w:jc w:val="center"/>
            </w:pPr>
            <w:bookmarkStart w:id="668" w:name="569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23 </w:t>
            </w:r>
            <w:r>
              <w:rPr>
                <w:rFonts w:ascii="Arial"/>
                <w:b/>
                <w:color w:val="000000"/>
                <w:sz w:val="15"/>
              </w:rPr>
              <w:t>травня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2017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2059-VIII</w:t>
            </w:r>
          </w:p>
        </w:tc>
        <w:tc>
          <w:tcPr>
            <w:tcW w:w="4845" w:type="dxa"/>
            <w:vAlign w:val="center"/>
          </w:tcPr>
          <w:p w:rsidR="001E7F44" w:rsidRDefault="002E733D">
            <w:pPr>
              <w:spacing w:after="0"/>
              <w:jc w:val="center"/>
            </w:pPr>
            <w:bookmarkStart w:id="669" w:name="570"/>
            <w:bookmarkEnd w:id="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9"/>
      </w:tr>
    </w:tbl>
    <w:p w:rsidR="001E7F44" w:rsidRDefault="002E733D" w:rsidP="002E733D">
      <w:r>
        <w:br/>
      </w:r>
      <w:bookmarkStart w:id="670" w:name="_GoBack"/>
      <w:bookmarkEnd w:id="670"/>
    </w:p>
    <w:sectPr w:rsidR="001E7F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7F44"/>
    <w:rsid w:val="001E7F44"/>
    <w:rsid w:val="002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E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19028</Words>
  <Characters>108466</Characters>
  <Application>Microsoft Office Word</Application>
  <DocSecurity>0</DocSecurity>
  <Lines>903</Lines>
  <Paragraphs>254</Paragraphs>
  <ScaleCrop>false</ScaleCrop>
  <Company/>
  <LinksUpToDate>false</LinksUpToDate>
  <CharactersWithSpaces>127240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2024-01-04T12:44:00Z</dcterms:created>
  <dcterms:modified xsi:type="dcterms:W3CDTF">2024-01-04T12:45:00Z</dcterms:modified>
</cp:coreProperties>
</file>