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a78b" w14:textId="eaba78b">
      <w:pPr>
        <w:pStyle w:val="Heading2"/>
        <w:spacing w:after="0"/>
        <w:ind w:left="0"/>
        <w:jc w:val="center"/>
        <w15:collapsed w:val="false"/>
      </w:pPr>
      <w:bookmarkStart w:name="2" w:id="0"/>
      <w:r>
        <w:rPr>
          <w:rFonts w:ascii="Arial"/>
          <w:color w:val="000000"/>
          <w:sz w:val="27"/>
        </w:rPr>
        <w:t>УКАЗ</w:t>
      </w:r>
      <w:r>
        <w:br/>
      </w:r>
      <w:r>
        <w:rPr>
          <w:rFonts w:ascii="Arial"/>
          <w:color w:val="000000"/>
          <w:sz w:val="27"/>
        </w:rPr>
        <w:t xml:space="preserve"> ПРЕЗИДИУМА ВЕРХОВНОГО СОВЕТА СССР </w:t>
      </w:r>
    </w:p>
    <w:bookmarkEnd w:id="0"/>
    <w:bookmarkStart w:name="3" w:id="1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О Порядке выдачи и свидетельствования предприятиями, учреждениями и организациями копий документов, касающихся прав граждан</w:t>
      </w:r>
    </w:p>
    <w:bookmarkEnd w:id="1"/>
    <w:bookmarkStart w:name="5841" w:id="2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>Указ не применяется на территории Украины,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кроме положений, не противоречащих </w:t>
      </w:r>
      <w:r>
        <w:rPr>
          <w:rFonts w:ascii="Arial"/>
          <w:b w:val="false"/>
          <w:i w:val="false"/>
          <w:color w:val="000000"/>
          <w:sz w:val="18"/>
        </w:rPr>
        <w:t>Конституции Украины</w:t>
      </w:r>
      <w:r>
        <w:rPr>
          <w:rFonts w:ascii="Arial"/>
          <w:b w:val="false"/>
          <w:i w:val="false"/>
          <w:color w:val="000000"/>
          <w:sz w:val="18"/>
        </w:rPr>
        <w:t xml:space="preserve"> 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</w:t>
      </w:r>
      <w:r>
        <w:rPr>
          <w:rFonts w:ascii="Arial"/>
          <w:b w:val="false"/>
          <w:i w:val="false"/>
          <w:color w:val="000000"/>
          <w:sz w:val="18"/>
        </w:rPr>
        <w:t>Закону Украины "Про правопреемство"</w:t>
      </w:r>
      <w:r>
        <w:rPr>
          <w:rFonts w:ascii="Arial"/>
          <w:b w:val="false"/>
          <w:i w:val="false"/>
          <w:color w:val="000000"/>
          <w:sz w:val="18"/>
        </w:rPr>
        <w:t xml:space="preserve"> и касающихся правоотношений, указанных в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</w:t>
      </w:r>
      <w:r>
        <w:rPr>
          <w:rFonts w:ascii="Arial"/>
          <w:b w:val="false"/>
          <w:i w:val="false"/>
          <w:color w:val="000000"/>
          <w:sz w:val="18"/>
        </w:rPr>
        <w:t>подпункте 1 пункта 2 раздела ІІ Закона Украины от 21 апреля 2022 года N 2215-IX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(согласно Закону Украины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от 21 апреля 2022 года 2215-IX)</w:t>
      </w:r>
    </w:p>
    <w:bookmarkEnd w:id="2"/>
    <w:bookmarkStart w:name="4" w:id="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Президиум Верховного Совета СССР </w:t>
      </w:r>
      <w:r>
        <w:rPr>
          <w:rFonts w:ascii="Arial"/>
          <w:b/>
          <w:i w:val="false"/>
          <w:color w:val="000000"/>
          <w:sz w:val="18"/>
        </w:rPr>
        <w:t>постановляет</w:t>
      </w:r>
      <w:r>
        <w:rPr>
          <w:rFonts w:ascii="Arial"/>
          <w:b w:val="false"/>
          <w:i w:val="false"/>
          <w:color w:val="000000"/>
          <w:sz w:val="18"/>
        </w:rPr>
        <w:t>:</w:t>
      </w:r>
    </w:p>
    <w:bookmarkEnd w:id="3"/>
    <w:bookmarkStart w:name="5" w:id="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Установить, что государственные и общественные предприятия, учреждения и организации выдают по заявлениям граждан копии документов, исходящих от этих предприятий, учреждений и организаций, если такие копии необходимы для решения вопросов, касающихся прав и законных интересов обратившихся к ним граждан.</w:t>
      </w:r>
    </w:p>
    <w:bookmarkEnd w:id="4"/>
    <w:bookmarkStart w:name="6" w:id="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Копии документов выдаются на бланках предприятий, учреждений и организаций.</w:t>
      </w:r>
    </w:p>
    <w:bookmarkEnd w:id="5"/>
    <w:bookmarkStart w:name="7" w:id="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 таком же порядке предприятия, учреждения и организации могут выдавать копии имеющихся у них документов, исходящих от других предприятий, учреждений и организаций, от которых получить непосредственно копии этих документов затруднительно или невозможно. В случаях, когда документы были исполнены на бланках, при изготовлении копий воспроизводятся реквизиты бланков.</w:t>
      </w:r>
    </w:p>
    <w:bookmarkEnd w:id="6"/>
    <w:bookmarkStart w:name="8" w:id="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Предприятия, учреждения и организации высылают также копии имеющихся у них документов по запросам других предприятий, учреждений и организаций, если копии таких документов необходимы для решения вопросов, касающихся прав и законных интересов обратившихся к ним граждан.</w:t>
      </w:r>
    </w:p>
    <w:bookmarkEnd w:id="7"/>
    <w:bookmarkStart w:name="9" w:id="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Верность копии документа свидетельствуется подписью руководителя или уполномоченного на то должностного лица и печатью. На копии указывается дата ее выдачи и делается отметка о том, что подлинный документ находится в данном предприятии, учреждении, организации.</w:t>
      </w:r>
    </w:p>
    <w:bookmarkEnd w:id="8"/>
    <w:bookmarkStart w:name="10" w:id="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Предприятия, учреждения и организации обязаны свидетельствовать верность копий документов, необходимых для представления гражданами в эти предприятия, учреждения, организации, если законодательством не предусмотрено представление копий таких документов, засвидетельствованных в нотариальном порядке.</w:t>
      </w:r>
    </w:p>
    <w:bookmarkEnd w:id="9"/>
    <w:bookmarkStart w:name="11" w:id="1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Запрещается свидетельствование верности копий паспорта, заменяющих его документов, партийного, профсоюзного, комсомольского, военного билетов, депутатского удостоверения, служебных удостоверений, а также других документов, снятие копий с которых не допускается.</w:t>
      </w:r>
    </w:p>
    <w:bookmarkEnd w:id="10"/>
    <w:bookmarkStart w:name="12" w:id="1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Не подлежат свидетельствованию копии с документов, имеющих неясный текст, подчистки, приписки и иные неоговоренные исправления.</w:t>
      </w:r>
    </w:p>
    <w:bookmarkEnd w:id="11"/>
    <w:bookmarkStart w:name="13" w:id="1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4. Заявления о выдаче копий документов и свидетельствовании верности копий документов рассматриваются предприятиями, учреждениями и организациями в соответствии с Указом Президиума Верховного Совета СССР от 12 апреля 1968 года "О порядке рассмотрения предложений, заявлений и жалоб граждан" (Ведомости Верховного Совета СССР, 1968 г., N 17, ст. 144; 1980 г., N 11, ст. 192).</w:t>
      </w:r>
    </w:p>
    <w:bookmarkEnd w:id="12"/>
    <w:bookmarkStart w:name="14" w:id="1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5. Выписки из документов, касающихся прав и законных интересов граждан, выдаются в порядке, установленном настоящим Указом.</w:t>
      </w:r>
    </w:p>
    <w:bookmarkEnd w:id="13"/>
    <w:bookmarkStart w:name="15" w:id="1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6. Признать утратившим силу Постановление ЦИК и СНК СССР от 3 июня 1937 года "Об упорядочении засвидетельствования копии с документа, касающегося личных прав и интересов гражданина" (СЗ СССР, 1937 г., N 37, ст. 149).</w:t>
      </w:r>
    </w:p>
    <w:bookmarkEnd w:id="14"/>
    <w:bookmarkStart w:name="16" w:id="1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7" w:id="1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Председатель Президиума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Верховного Совета СССР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6"/>
        </w:tc>
        <w:tc>
          <w:tcPr>
            <w:tcW w:w="4845" w:type="dxa"/>
            <w:tcBorders/>
            <w:vAlign w:val="center"/>
          </w:tcPr>
          <w:bookmarkStart w:name="18" w:id="1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Ю. АНДРОПОВ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7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19" w:id="1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Секретарь Президиума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Верховного Совета СССР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8"/>
        </w:tc>
        <w:tc>
          <w:tcPr>
            <w:tcW w:w="4845" w:type="dxa"/>
            <w:tcBorders/>
            <w:vAlign w:val="center"/>
          </w:tcPr>
          <w:bookmarkStart w:name="20" w:id="1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Т. МЕНТЕШАШВИЛИ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9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21" w:id="2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Москва, Кремль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 xml:space="preserve"> от 4 августа 1983 года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N 9779-X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0"/>
        </w:tc>
        <w:tc>
          <w:tcPr>
            <w:tcW w:w="4845" w:type="dxa"/>
            <w:tcBorders/>
            <w:vAlign w:val="center"/>
          </w:tcPr>
          <w:bookmarkStart w:name="5840" w:id="2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 </w:t>
            </w:r>
          </w:p>
          <w:bookmarkEnd w:id="21"/>
        </w:tc>
      </w:tr>
    </w:tbl>
    <w:p>
      <w:pPr>
        <w:spacing/>
        <w:ind w:left="0"/>
        <w:jc w:val="left"/>
      </w:pPr>
      <w:r>
        <w:br/>
      </w:r>
    </w:p>
    <w:bookmarkStart w:name="22" w:id="22"/>
    <w:p>
      <w:pPr>
        <w:spacing w:after="0"/>
        <w:ind w:firstLine="240"/>
        <w:jc w:val="left"/>
      </w:pPr>
    </w:p>
    <w:bookmarkEnd w:id="22"/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0"/>
        <w:gridCol w:w="1240"/>
      </w:tblGrid>
      <w:tr>
        <w:trPr/>
        <w:tc>
          <w:tcPr>
            <w:tcW w:w="841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"ЛІГА ЗАКОН", 2022</w:t>
            </w:r>
          </w:p>
        </w:tc>
        <w:tc>
          <w:tcPr>
            <w:tcW w:w="124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762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