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02" w:rsidRDefault="00EE5795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102" w:rsidRPr="00EE5795" w:rsidRDefault="00EE579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E5795">
        <w:rPr>
          <w:rFonts w:ascii="Arial"/>
          <w:color w:val="000000"/>
          <w:sz w:val="27"/>
          <w:lang w:val="ru-RU"/>
        </w:rPr>
        <w:t>КАБІНЕТ</w:t>
      </w:r>
      <w:r w:rsidRPr="00EE5795">
        <w:rPr>
          <w:rFonts w:ascii="Arial"/>
          <w:color w:val="000000"/>
          <w:sz w:val="27"/>
          <w:lang w:val="ru-RU"/>
        </w:rPr>
        <w:t xml:space="preserve"> </w:t>
      </w:r>
      <w:r w:rsidRPr="00EE5795">
        <w:rPr>
          <w:rFonts w:ascii="Arial"/>
          <w:color w:val="000000"/>
          <w:sz w:val="27"/>
          <w:lang w:val="ru-RU"/>
        </w:rPr>
        <w:t>МІНІСТРІВ</w:t>
      </w:r>
      <w:r w:rsidRPr="00EE5795">
        <w:rPr>
          <w:rFonts w:ascii="Arial"/>
          <w:color w:val="000000"/>
          <w:sz w:val="27"/>
          <w:lang w:val="ru-RU"/>
        </w:rPr>
        <w:t xml:space="preserve"> </w:t>
      </w:r>
      <w:r w:rsidRPr="00EE5795">
        <w:rPr>
          <w:rFonts w:ascii="Arial"/>
          <w:color w:val="000000"/>
          <w:sz w:val="27"/>
          <w:lang w:val="ru-RU"/>
        </w:rPr>
        <w:t>УКРАЇНИ</w:t>
      </w:r>
    </w:p>
    <w:p w:rsidR="00995102" w:rsidRPr="00EE5795" w:rsidRDefault="00EE579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E5795">
        <w:rPr>
          <w:rFonts w:ascii="Arial"/>
          <w:color w:val="000000"/>
          <w:sz w:val="27"/>
          <w:lang w:val="ru-RU"/>
        </w:rPr>
        <w:t>ПОСТАНОВА</w:t>
      </w:r>
    </w:p>
    <w:p w:rsidR="00995102" w:rsidRPr="00EE5795" w:rsidRDefault="00EE5795">
      <w:pPr>
        <w:spacing w:after="0"/>
        <w:jc w:val="center"/>
        <w:rPr>
          <w:lang w:val="ru-RU"/>
        </w:rPr>
      </w:pPr>
      <w:bookmarkStart w:id="3" w:name="4"/>
      <w:bookmarkEnd w:id="2"/>
      <w:r w:rsidRPr="00EE5795">
        <w:rPr>
          <w:rFonts w:ascii="Arial"/>
          <w:b/>
          <w:color w:val="000000"/>
          <w:sz w:val="18"/>
          <w:lang w:val="ru-RU"/>
        </w:rPr>
        <w:t>від</w:t>
      </w:r>
      <w:r w:rsidRPr="00EE5795">
        <w:rPr>
          <w:rFonts w:ascii="Arial"/>
          <w:b/>
          <w:color w:val="000000"/>
          <w:sz w:val="18"/>
          <w:lang w:val="ru-RU"/>
        </w:rPr>
        <w:t xml:space="preserve"> 30 </w:t>
      </w:r>
      <w:r w:rsidRPr="00EE5795">
        <w:rPr>
          <w:rFonts w:ascii="Arial"/>
          <w:b/>
          <w:color w:val="000000"/>
          <w:sz w:val="18"/>
          <w:lang w:val="ru-RU"/>
        </w:rPr>
        <w:t>серпня</w:t>
      </w:r>
      <w:r w:rsidRPr="00EE5795">
        <w:rPr>
          <w:rFonts w:ascii="Arial"/>
          <w:b/>
          <w:color w:val="000000"/>
          <w:sz w:val="18"/>
          <w:lang w:val="ru-RU"/>
        </w:rPr>
        <w:t xml:space="preserve"> 2024 </w:t>
      </w:r>
      <w:r w:rsidRPr="00EE5795">
        <w:rPr>
          <w:rFonts w:ascii="Arial"/>
          <w:b/>
          <w:color w:val="000000"/>
          <w:sz w:val="18"/>
          <w:lang w:val="ru-RU"/>
        </w:rPr>
        <w:t>р</w:t>
      </w:r>
      <w:r w:rsidRPr="00EE5795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EE5795">
        <w:rPr>
          <w:rFonts w:ascii="Arial"/>
          <w:b/>
          <w:color w:val="000000"/>
          <w:sz w:val="18"/>
          <w:lang w:val="ru-RU"/>
        </w:rPr>
        <w:t xml:space="preserve"> 1003</w:t>
      </w:r>
    </w:p>
    <w:p w:rsidR="00995102" w:rsidRDefault="00EE5795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:rsidR="00995102" w:rsidRDefault="00EE5795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експериментального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995102" w:rsidRDefault="00EE5795">
      <w:pPr>
        <w:spacing w:after="0"/>
        <w:ind w:firstLine="240"/>
      </w:pPr>
      <w:bookmarkStart w:id="6" w:name="7"/>
      <w:bookmarkEnd w:id="5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995102" w:rsidRDefault="00EE5795">
      <w:pPr>
        <w:spacing w:after="0"/>
        <w:ind w:firstLine="240"/>
      </w:pPr>
      <w:bookmarkStart w:id="7" w:name="8"/>
      <w:bookmarkEnd w:id="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Погодитися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експериментальний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).</w:t>
      </w:r>
    </w:p>
    <w:p w:rsidR="00995102" w:rsidRDefault="00EE5795">
      <w:pPr>
        <w:spacing w:after="0"/>
        <w:ind w:firstLine="240"/>
      </w:pPr>
      <w:bookmarkStart w:id="8" w:name="9"/>
      <w:bookmarkEnd w:id="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9" w:name="10"/>
      <w:bookmarkEnd w:id="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995102" w:rsidRDefault="00EE5795">
      <w:pPr>
        <w:spacing w:after="0"/>
        <w:ind w:firstLine="240"/>
      </w:pPr>
      <w:bookmarkStart w:id="10" w:name="11"/>
      <w:bookmarkEnd w:id="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11" w:name="12"/>
      <w:bookmarkEnd w:id="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:</w:t>
      </w:r>
    </w:p>
    <w:p w:rsidR="00995102" w:rsidRDefault="00EE5795">
      <w:pPr>
        <w:spacing w:after="0"/>
        <w:ind w:firstLine="240"/>
      </w:pPr>
      <w:bookmarkStart w:id="13" w:name="14"/>
      <w:bookmarkEnd w:id="12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14" w:name="15"/>
      <w:bookmarkEnd w:id="13"/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99510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95102" w:rsidRDefault="00EE5795">
            <w:pPr>
              <w:spacing w:after="0"/>
              <w:jc w:val="center"/>
            </w:pPr>
            <w:bookmarkStart w:id="16" w:name="17"/>
            <w:bookmarkEnd w:id="15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95102" w:rsidRDefault="00EE5795">
            <w:pPr>
              <w:spacing w:after="0"/>
              <w:jc w:val="center"/>
            </w:pPr>
            <w:bookmarkStart w:id="17" w:name="18"/>
            <w:bookmarkEnd w:id="16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7"/>
      </w:tr>
    </w:tbl>
    <w:p w:rsidR="00995102" w:rsidRDefault="00EE5795">
      <w:r>
        <w:br/>
      </w:r>
    </w:p>
    <w:p w:rsidR="00995102" w:rsidRDefault="00EE5795">
      <w:pPr>
        <w:spacing w:after="0"/>
        <w:ind w:firstLine="240"/>
      </w:pPr>
      <w:bookmarkStart w:id="18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995102" w:rsidRDefault="00EE5795">
      <w:pPr>
        <w:spacing w:after="0"/>
        <w:ind w:firstLine="240"/>
      </w:pPr>
      <w:bookmarkStart w:id="19" w:name="20"/>
      <w:bookmarkEnd w:id="18"/>
      <w:r>
        <w:rPr>
          <w:rFonts w:ascii="Arial"/>
          <w:color w:val="000000"/>
          <w:sz w:val="18"/>
        </w:rPr>
        <w:t xml:space="preserve"> </w:t>
      </w:r>
    </w:p>
    <w:p w:rsidR="00995102" w:rsidRDefault="00EE5795">
      <w:pPr>
        <w:spacing w:after="0"/>
        <w:ind w:firstLine="240"/>
        <w:jc w:val="right"/>
      </w:pPr>
      <w:bookmarkStart w:id="20" w:name="21"/>
      <w:bookmarkEnd w:id="1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1003</w:t>
      </w:r>
    </w:p>
    <w:p w:rsidR="00995102" w:rsidRDefault="00EE5795">
      <w:pPr>
        <w:pStyle w:val="3"/>
        <w:spacing w:after="0"/>
        <w:jc w:val="center"/>
      </w:pPr>
      <w:bookmarkStart w:id="21" w:name="22"/>
      <w:bookmarkEnd w:id="20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експериментального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спрощеного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відходів</w:t>
      </w:r>
    </w:p>
    <w:p w:rsidR="00995102" w:rsidRDefault="00EE5795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експериментальний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ЕкоСистема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платформа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ЕкоСистема</w:t>
      </w:r>
      <w:r>
        <w:rPr>
          <w:rFonts w:ascii="Arial"/>
          <w:color w:val="000000"/>
          <w:sz w:val="18"/>
        </w:rPr>
        <w:t>").</w:t>
      </w:r>
    </w:p>
    <w:p w:rsidR="00995102" w:rsidRDefault="00EE5795">
      <w:pPr>
        <w:spacing w:after="0"/>
        <w:ind w:firstLine="240"/>
      </w:pPr>
      <w:bookmarkStart w:id="24" w:name="25"/>
      <w:bookmarkEnd w:id="2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95102" w:rsidRDefault="00EE5795">
      <w:pPr>
        <w:spacing w:after="0"/>
        <w:ind w:firstLine="240"/>
      </w:pPr>
      <w:bookmarkStart w:id="25" w:name="26"/>
      <w:bookmarkEnd w:id="2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26" w:name="27"/>
      <w:bookmarkEnd w:id="2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27" w:name="28"/>
      <w:bookmarkEnd w:id="2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D1, D4, D5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995102" w:rsidRDefault="00EE5795">
      <w:pPr>
        <w:spacing w:after="0"/>
        <w:ind w:firstLine="240"/>
      </w:pPr>
      <w:bookmarkStart w:id="28" w:name="29"/>
      <w:bookmarkEnd w:id="2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R12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R13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";</w:t>
      </w:r>
    </w:p>
    <w:p w:rsidR="00995102" w:rsidRDefault="00EE5795">
      <w:pPr>
        <w:spacing w:after="0"/>
        <w:ind w:firstLine="240"/>
      </w:pPr>
      <w:bookmarkStart w:id="29" w:name="30"/>
      <w:bookmarkEnd w:id="2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30" w:name="31"/>
      <w:bookmarkEnd w:id="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інтенсифікують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31" w:name="32"/>
      <w:bookmarkEnd w:id="3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ЕкоСистема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5264),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5820).</w:t>
      </w:r>
    </w:p>
    <w:p w:rsidR="00995102" w:rsidRDefault="00EE5795">
      <w:pPr>
        <w:spacing w:after="0"/>
        <w:ind w:firstLine="240"/>
      </w:pPr>
      <w:bookmarkStart w:id="32" w:name="33"/>
      <w:bookmarkEnd w:id="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ЕкоСистема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95102" w:rsidRDefault="00EE5795">
      <w:pPr>
        <w:spacing w:after="0"/>
        <w:ind w:firstLine="240"/>
      </w:pPr>
      <w:bookmarkStart w:id="33" w:name="34"/>
      <w:bookmarkEnd w:id="32"/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34" w:name="35"/>
      <w:bookmarkEnd w:id="33"/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35" w:name="36"/>
      <w:bookmarkEnd w:id="34"/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36" w:name="37"/>
      <w:bookmarkEnd w:id="35"/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37" w:name="38"/>
      <w:bookmarkEnd w:id="36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38" w:name="39"/>
      <w:bookmarkEnd w:id="37"/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перевозяться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39" w:name="40"/>
      <w:bookmarkEnd w:id="38"/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40" w:name="41"/>
      <w:bookmarkEnd w:id="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</w:t>
      </w:r>
      <w:r>
        <w:rPr>
          <w:rFonts w:ascii="Arial"/>
          <w:color w:val="000000"/>
          <w:sz w:val="18"/>
        </w:rPr>
        <w:t>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995102" w:rsidRDefault="00EE5795">
      <w:pPr>
        <w:spacing w:after="0"/>
        <w:ind w:firstLine="240"/>
      </w:pPr>
      <w:bookmarkStart w:id="41" w:name="42"/>
      <w:bookmarkEnd w:id="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підмодулі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42" w:name="43"/>
      <w:bookmarkEnd w:id="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43" w:name="44"/>
      <w:bookmarkEnd w:id="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995102" w:rsidRDefault="00EE5795">
      <w:pPr>
        <w:spacing w:after="0"/>
        <w:ind w:firstLine="240"/>
      </w:pPr>
      <w:bookmarkStart w:id="44" w:name="45"/>
      <w:bookmarkEnd w:id="4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45" w:name="46"/>
      <w:bookmarkEnd w:id="4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46" w:name="47"/>
      <w:bookmarkEnd w:id="45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R12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подрібнення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R13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995102" w:rsidRDefault="00EE5795">
      <w:pPr>
        <w:spacing w:after="0"/>
        <w:ind w:firstLine="240"/>
      </w:pPr>
      <w:bookmarkStart w:id="47" w:name="48"/>
      <w:bookmarkEnd w:id="4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</w:t>
      </w:r>
      <w:r>
        <w:rPr>
          <w:rFonts w:ascii="Arial"/>
          <w:color w:val="000000"/>
          <w:sz w:val="18"/>
        </w:rPr>
        <w:t>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48" w:name="49"/>
      <w:bookmarkEnd w:id="47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ЕкоСистем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49" w:name="50"/>
      <w:bookmarkEnd w:id="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50" w:name="51"/>
      <w:bookmarkEnd w:id="4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D1, D4, D5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1328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391),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".</w:t>
      </w:r>
    </w:p>
    <w:p w:rsidR="00995102" w:rsidRDefault="00EE5795">
      <w:pPr>
        <w:spacing w:after="0"/>
        <w:ind w:firstLine="240"/>
      </w:pPr>
      <w:bookmarkStart w:id="51" w:name="52"/>
      <w:bookmarkEnd w:id="5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".</w:t>
      </w:r>
    </w:p>
    <w:p w:rsidR="00995102" w:rsidRDefault="00EE5795">
      <w:pPr>
        <w:spacing w:after="0"/>
        <w:ind w:firstLine="240"/>
      </w:pPr>
      <w:bookmarkStart w:id="52" w:name="53"/>
      <w:bookmarkEnd w:id="51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ЕкоСистема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</w:t>
      </w:r>
      <w:r>
        <w:rPr>
          <w:rFonts w:ascii="Arial"/>
          <w:color w:val="000000"/>
          <w:sz w:val="18"/>
        </w:rPr>
        <w:t>кацій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53" w:name="54"/>
      <w:bookmarkEnd w:id="5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ind w:firstLine="240"/>
      </w:pPr>
      <w:bookmarkStart w:id="54" w:name="55"/>
      <w:bookmarkEnd w:id="5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Держекоінспекція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облдержадміністрації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995102" w:rsidRDefault="00EE5795">
      <w:pPr>
        <w:spacing w:after="0"/>
        <w:jc w:val="center"/>
      </w:pPr>
      <w:bookmarkStart w:id="55" w:name="56"/>
      <w:bookmarkEnd w:id="54"/>
      <w:r>
        <w:rPr>
          <w:rFonts w:ascii="Arial"/>
          <w:color w:val="000000"/>
          <w:sz w:val="18"/>
        </w:rPr>
        <w:t>____________</w:t>
      </w:r>
    </w:p>
    <w:p w:rsidR="00995102" w:rsidRDefault="00995102">
      <w:pPr>
        <w:spacing w:after="0"/>
        <w:ind w:firstLine="240"/>
      </w:pPr>
      <w:bookmarkStart w:id="56" w:name="57"/>
      <w:bookmarkStart w:id="57" w:name="_GoBack"/>
      <w:bookmarkEnd w:id="55"/>
      <w:bookmarkEnd w:id="56"/>
      <w:bookmarkEnd w:id="57"/>
    </w:p>
    <w:sectPr w:rsidR="00995102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5102"/>
    <w:rsid w:val="00995102"/>
    <w:rsid w:val="00E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2351"/>
  <w15:docId w15:val="{4940AD76-463E-42D5-BF2B-8CF6EEF9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6840</Words>
  <Characters>3900</Characters>
  <Application>Microsoft Office Word</Application>
  <DocSecurity>0</DocSecurity>
  <Lines>32</Lines>
  <Paragraphs>21</Paragraphs>
  <ScaleCrop>false</ScaleCrop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2</cp:revision>
  <dcterms:created xsi:type="dcterms:W3CDTF">2024-09-05T09:34:00Z</dcterms:created>
  <dcterms:modified xsi:type="dcterms:W3CDTF">2024-09-05T09:35:00Z</dcterms:modified>
</cp:coreProperties>
</file>