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194d" w14:textId="863194d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ЗАКОН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внесення змін до Податкового кодексу України та інших законодавчих актів України щодо перегляду окремих пільг з оподаткування</w:t>
      </w:r>
    </w:p>
    <w:bookmarkEnd w:id="2"/>
    <w:bookmarkStart w:name="4" w:id="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Верховна Рада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3"/>
    <w:bookmarkStart w:name="5" w:id="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I. Внести до </w:t>
      </w:r>
      <w:r>
        <w:rPr>
          <w:rFonts w:ascii="Arial"/>
          <w:b w:val="false"/>
          <w:i w:val="false"/>
          <w:color w:val="000000"/>
          <w:sz w:val="18"/>
        </w:rPr>
        <w:t>розділу XX "Перехідні положення" Податкового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2011 р., NN 13 - 17, ст. 112) такі зміни: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 пункті 9 підрозділу 8: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1) в абзаці п'ятому підпункту 9.3 слова і цифри "імпорту автомобілів легкових, кузовів до них, причепів та напівпричепів, мотоциклів, транспортних засобів, призначених для перевезення 10 осіб і більше, транспортних засобів для перевезення вантажів та роздрібної торгівлі підакцизними товарами" замінити словами "роздрібної торгівлі підакцизними товарами)";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2) у підпункті 9.5: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 абзаці першому слова "та при ввезенні товарів на митну територію України" виключити;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другий виключити.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У пункті 69 підрозділу 10: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 69.23 виключити;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підпункти 69.24 і 69.25 виключити.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/>
          <w:i w:val="false"/>
          <w:color w:val="000000"/>
          <w:sz w:val="18"/>
        </w:rPr>
        <w:t>II. Прикінцеві положення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Цей Закон набирає чинності з дня, наступного за днем його опублікування, крім абзацу третього пункту 2 розділу I (щодо виключення </w:t>
      </w:r>
      <w:r>
        <w:rPr>
          <w:rFonts w:ascii="Arial"/>
          <w:b w:val="false"/>
          <w:i w:val="false"/>
          <w:color w:val="000000"/>
          <w:sz w:val="18"/>
        </w:rPr>
        <w:t>підпунктів 69.24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69.25 пункту 69 підрозділу 10 розділу XX "Перехідні положення" Податкового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) та абзацу сьомого підпункту 1 пункту 2 розділу II (щодо виключення абзаців першого, третього і четвертого </w:t>
      </w:r>
      <w:r>
        <w:rPr>
          <w:rFonts w:ascii="Arial"/>
          <w:b w:val="false"/>
          <w:i w:val="false"/>
          <w:color w:val="000000"/>
          <w:sz w:val="18"/>
        </w:rPr>
        <w:t>підпункту 1 пункту 9</w:t>
      </w:r>
      <w:r>
        <w:rPr>
          <w:rFonts w:ascii="Arial"/>
          <w:b w:val="false"/>
          <w:i w:val="false"/>
          <w:color w:val="000000"/>
          <w:vertAlign w:val="superscript"/>
        </w:rPr>
        <w:t>11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розділу XXI "Прикінцеві та перехідні положення" Митного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) цього Закону, які набирають чинності з 1 липня 2022 року.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Внести зміни до таких законодавчих актів України: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1) у </w:t>
      </w:r>
      <w:r>
        <w:rPr>
          <w:rFonts w:ascii="Arial"/>
          <w:b w:val="false"/>
          <w:i w:val="false"/>
          <w:color w:val="000000"/>
          <w:sz w:val="18"/>
        </w:rPr>
        <w:t>Митному кодексі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2012 р., NN 44 - 48, ст. 552):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статтю 281 доповнити частиною шостою такого змісту: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"6. У відповідь на дружні дії держав щодо реалізації законних прав та інтересів суб'єктів зовнішньоекономічної діяльності України, держав, з якими Україною укладено міжнародні договори про вільну торгівлю, як захід з національної безпеки, що запроваджується 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XXI Генеральної угоди з тарифів і торгівлі 1994 року</w:t>
      </w:r>
      <w:r>
        <w:rPr>
          <w:rFonts w:ascii="Arial"/>
          <w:b w:val="false"/>
          <w:i w:val="false"/>
          <w:color w:val="000000"/>
          <w:sz w:val="18"/>
        </w:rPr>
        <w:t>, Кабінет Міністрів України відповідно до статті 29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зовнішньоекономічну діяльність"</w:t>
      </w:r>
      <w:r>
        <w:rPr>
          <w:rFonts w:ascii="Arial"/>
          <w:b w:val="false"/>
          <w:i w:val="false"/>
          <w:color w:val="000000"/>
          <w:sz w:val="18"/>
        </w:rPr>
        <w:t xml:space="preserve"> може прийняти рішення про тимчасове застосування аналогічних заходів - встановлення тарифних пільг (тарифних преференцій) у вигляді звільнення від оподаткування ввізним митом, зниження ставок ввізного мита або встановлення тарифних квот - до товарів, що походять з держав, які здійснили дружні дії щодо реалізації законних прав та інтересів суб'єктів зовнішньоекономічної діяльності України, держав, з якими Україною укладено міжнародні договори про вільну торгівлю, та які в односторонньому порядку застосували тарифні пільги (тарифні преференції) до товарів, що походять з України";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пункті 9</w:t>
      </w:r>
      <w:r>
        <w:rPr>
          <w:rFonts w:ascii="Arial"/>
          <w:b w:val="false"/>
          <w:i w:val="false"/>
          <w:color w:val="000000"/>
          <w:vertAlign w:val="superscript"/>
        </w:rPr>
        <w:t>11</w:t>
      </w:r>
      <w:r>
        <w:rPr>
          <w:rFonts w:ascii="Arial"/>
          <w:b w:val="false"/>
          <w:i w:val="false"/>
          <w:color w:val="000000"/>
          <w:sz w:val="18"/>
        </w:rPr>
        <w:t xml:space="preserve"> розділу XXI "Прикінцеві та перехідні положення":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підпункті 1: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 другий виключити;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абзаци перший, третій і четвертий виключити;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підпункти 2 і 4 виключити;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2) </w:t>
      </w:r>
      <w:r>
        <w:rPr>
          <w:rFonts w:ascii="Arial"/>
          <w:b w:val="false"/>
          <w:i w:val="false"/>
          <w:color w:val="000000"/>
          <w:sz w:val="18"/>
        </w:rPr>
        <w:t>Закон України "Про зовнішньоекономічну діяльність"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УРСР, 1991 р., N 29, ст. 377 із наступними змінами) доповнити статтею 29</w:t>
      </w:r>
      <w:r>
        <w:rPr>
          <w:rFonts w:ascii="Arial"/>
          <w:b w:val="false"/>
          <w:i w:val="false"/>
          <w:color w:val="000000"/>
          <w:vertAlign w:val="superscript"/>
        </w:rPr>
        <w:t>1</w:t>
      </w:r>
      <w:r>
        <w:rPr>
          <w:rFonts w:ascii="Arial"/>
          <w:b w:val="false"/>
          <w:i w:val="false"/>
          <w:color w:val="000000"/>
          <w:sz w:val="18"/>
        </w:rPr>
        <w:t xml:space="preserve"> такого змісту:</w:t>
      </w:r>
    </w:p>
    <w:bookmarkEnd w:id="24"/>
    <w:bookmarkStart w:name="26" w:id="2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Стаття 29</w:t>
      </w:r>
      <w:r>
        <w:rPr>
          <w:rFonts w:ascii="Arial"/>
          <w:b/>
          <w:i w:val="false"/>
          <w:color w:val="000000"/>
          <w:vertAlign w:val="superscript"/>
        </w:rPr>
        <w:t>1</w:t>
      </w:r>
      <w:r>
        <w:rPr>
          <w:rFonts w:ascii="Arial"/>
          <w:b/>
          <w:i w:val="false"/>
          <w:color w:val="000000"/>
          <w:sz w:val="18"/>
        </w:rPr>
        <w:t>. Заходи України у відповідь на дружні дії держав щодо реалізації законних прав та інтересів суб'єктів зовнішньоекономічної діяльності України, держав, з якими укладено міжнародні договори про вільну торгівлю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 разі якщо інші держави, митні союзи або економічні угруповання здійснюють дружні дії щодо реалізації законних прав та інтересів суб'єктів зовнішньоекономічної діяльності України - встановлюють тарифні пільги (тарифні преференції) у вигляді звільнення від оподаткування ввізним митом, зниження ставок ввізного мита або встановлення тарифних квот, інші заходи, передбачені законами та міжнародними договорами України, - у відповідь на такі дії можуть застосовуватися аналогічні заходи.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Як захід з національної безпеки, що запроваджується 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XXI Генеральної угоди з тарифів і торгівлі 1994 року</w:t>
      </w:r>
      <w:r>
        <w:rPr>
          <w:rFonts w:ascii="Arial"/>
          <w:b w:val="false"/>
          <w:i w:val="false"/>
          <w:color w:val="000000"/>
          <w:sz w:val="18"/>
        </w:rPr>
        <w:t>, Кабінет Міністрів України може прийняти рішення про тимчасове застосування аналогічних заходів - встановлення тарифних пільг (тарифних преференцій) у вигляді звільнення від оподаткування ввізним митом, зниження ставок ввізного мита або встановлення тарифних квот - до товарів, що походять з держав, які здійснили дружні дії щодо реалізації законних прав та інтересів суб'єктів зовнішньоекономічної діяльності України, держав, з якими Україною укладено міжнародні договори про вільну торгівлю, та які в односторонньому порядку застосували тарифні пільги (тарифні преференції) до товарів, що походять з України";</w:t>
      </w:r>
    </w:p>
    <w:bookmarkEnd w:id="27"/>
    <w:bookmarkStart w:name="29" w:id="2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3) </w:t>
      </w:r>
      <w:r>
        <w:rPr>
          <w:rFonts w:ascii="Arial"/>
          <w:b w:val="false"/>
          <w:i w:val="false"/>
          <w:color w:val="000000"/>
          <w:sz w:val="18"/>
        </w:rPr>
        <w:t>пункт 7 статті 1 Закону України "Про збір на обов'язкове державне пенсійне страхування"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1997 р., N 37, ст. 237 із наступними змінами) після слів "набувають право власності на легкові автомобілі" доповнити словами "(крім легкових автомобілів, оснащених виключно електричними двигунами (одним чи декількома)";</w:t>
      </w:r>
    </w:p>
    <w:bookmarkEnd w:id="28"/>
    <w:bookmarkStart w:name="30" w:id="2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4) </w:t>
      </w:r>
      <w:r>
        <w:rPr>
          <w:rFonts w:ascii="Arial"/>
          <w:b w:val="false"/>
          <w:i w:val="false"/>
          <w:color w:val="000000"/>
          <w:sz w:val="18"/>
        </w:rPr>
        <w:t>статтю 3</w:t>
      </w:r>
      <w:r>
        <w:rPr>
          <w:rFonts w:ascii="Arial"/>
          <w:b w:val="false"/>
          <w:i w:val="false"/>
          <w:color w:val="000000"/>
          <w:vertAlign w:val="superscript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деякі питання ввезення на митну територію України та проведення першої державної реєстрації транспортних засобів"</w:t>
      </w:r>
      <w:r>
        <w:rPr>
          <w:rFonts w:ascii="Arial"/>
          <w:b w:val="false"/>
          <w:i w:val="false"/>
          <w:color w:val="000000"/>
          <w:sz w:val="18"/>
        </w:rPr>
        <w:t xml:space="preserve"> (Відомості Верховної Ради України, 2005 р., N 34, ст. 435; із змінами, внесеними </w:t>
      </w:r>
      <w:r>
        <w:rPr>
          <w:rFonts w:ascii="Arial"/>
          <w:b w:val="false"/>
          <w:i w:val="false"/>
          <w:color w:val="000000"/>
          <w:sz w:val="18"/>
        </w:rPr>
        <w:t>Законом України від 12 травня 2022 року N 2260-IX</w:t>
      </w:r>
      <w:r>
        <w:rPr>
          <w:rFonts w:ascii="Arial"/>
          <w:b w:val="false"/>
          <w:i w:val="false"/>
          <w:color w:val="000000"/>
          <w:sz w:val="18"/>
        </w:rPr>
        <w:t>) викласти в такій редакції:</w:t>
      </w:r>
    </w:p>
    <w:bookmarkEnd w:id="29"/>
    <w:bookmarkStart w:name="31" w:id="3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"3</w:t>
      </w:r>
      <w:r>
        <w:rPr>
          <w:rFonts w:ascii="Arial"/>
          <w:b w:val="false"/>
          <w:i w:val="false"/>
          <w:color w:val="000000"/>
          <w:vertAlign w:val="superscript"/>
        </w:rPr>
        <w:t>3</w:t>
      </w:r>
      <w:r>
        <w:rPr>
          <w:rFonts w:ascii="Arial"/>
          <w:b w:val="false"/>
          <w:i w:val="false"/>
          <w:color w:val="000000"/>
          <w:sz w:val="18"/>
        </w:rPr>
        <w:t xml:space="preserve">. Визначити, що до 31 грудня 2022 року включно митне оформлення з метою вільного обігу та першу державну реєстрацію в Україні транспортних засобів за </w:t>
      </w:r>
      <w:r>
        <w:rPr>
          <w:rFonts w:ascii="Arial"/>
          <w:b w:val="false"/>
          <w:i w:val="false"/>
          <w:color w:val="000000"/>
          <w:sz w:val="18"/>
        </w:rPr>
        <w:t>кодами товарних позицій 8702</w:t>
      </w:r>
      <w:r>
        <w:rPr>
          <w:rFonts w:ascii="Arial"/>
          <w:b w:val="false"/>
          <w:i w:val="false"/>
          <w:color w:val="000000"/>
          <w:sz w:val="18"/>
        </w:rPr>
        <w:t xml:space="preserve"> (крім товарних підкатегорій </w:t>
      </w:r>
      <w:r>
        <w:rPr>
          <w:rFonts w:ascii="Arial"/>
          <w:b w:val="false"/>
          <w:i w:val="false"/>
          <w:color w:val="000000"/>
          <w:sz w:val="18"/>
        </w:rPr>
        <w:t>8702 10 11 30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8702 10 19 90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8702 40 00 10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8702 40 00 90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8702 90 11 00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8702 90 19 00</w:t>
      </w:r>
      <w:r>
        <w:rPr>
          <w:rFonts w:ascii="Arial"/>
          <w:b w:val="false"/>
          <w:i w:val="false"/>
          <w:color w:val="000000"/>
          <w:sz w:val="18"/>
        </w:rPr>
        <w:t xml:space="preserve">), </w:t>
      </w:r>
      <w:r>
        <w:rPr>
          <w:rFonts w:ascii="Arial"/>
          <w:b w:val="false"/>
          <w:i w:val="false"/>
          <w:color w:val="000000"/>
          <w:sz w:val="18"/>
        </w:rPr>
        <w:t>8704</w:t>
      </w:r>
      <w:r>
        <w:rPr>
          <w:rFonts w:ascii="Arial"/>
          <w:b w:val="false"/>
          <w:i w:val="false"/>
          <w:color w:val="000000"/>
          <w:sz w:val="18"/>
        </w:rPr>
        <w:t xml:space="preserve"> (крім товарних підкатегорій </w:t>
      </w:r>
      <w:r>
        <w:rPr>
          <w:rFonts w:ascii="Arial"/>
          <w:b w:val="false"/>
          <w:i w:val="false"/>
          <w:color w:val="000000"/>
          <w:sz w:val="18"/>
        </w:rPr>
        <w:t>8704 10 10 90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8704 22 10 00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8704 22 91 00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8704 22 99 00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8704 23 10 00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8704 23 91 00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8704 23 99 00</w:t>
      </w:r>
      <w:r>
        <w:rPr>
          <w:rFonts w:ascii="Arial"/>
          <w:b w:val="false"/>
          <w:i w:val="false"/>
          <w:color w:val="000000"/>
          <w:sz w:val="18"/>
        </w:rPr>
        <w:t xml:space="preserve">) та </w:t>
      </w:r>
      <w:r>
        <w:rPr>
          <w:rFonts w:ascii="Arial"/>
          <w:b w:val="false"/>
          <w:i w:val="false"/>
          <w:color w:val="000000"/>
          <w:sz w:val="18"/>
        </w:rPr>
        <w:t>8705</w:t>
      </w:r>
      <w:r>
        <w:rPr>
          <w:rFonts w:ascii="Arial"/>
          <w:b w:val="false"/>
          <w:i w:val="false"/>
          <w:color w:val="000000"/>
          <w:sz w:val="18"/>
        </w:rPr>
        <w:t xml:space="preserve"> (крім </w:t>
      </w:r>
      <w:r>
        <w:rPr>
          <w:rFonts w:ascii="Arial"/>
          <w:b w:val="false"/>
          <w:i w:val="false"/>
          <w:color w:val="000000"/>
          <w:sz w:val="18"/>
        </w:rPr>
        <w:t>товарних підкатегорій 8705 10 00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8705 20 00 00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8705 30 00 10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8705 30 00 90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8705 90 80 90</w:t>
      </w:r>
      <w:r>
        <w:rPr>
          <w:rFonts w:ascii="Arial"/>
          <w:b w:val="false"/>
          <w:i w:val="false"/>
          <w:color w:val="000000"/>
          <w:sz w:val="18"/>
        </w:rPr>
        <w:t xml:space="preserve">) згідно з </w:t>
      </w:r>
      <w:r>
        <w:rPr>
          <w:rFonts w:ascii="Arial"/>
          <w:b w:val="false"/>
          <w:i w:val="false"/>
          <w:color w:val="000000"/>
          <w:sz w:val="18"/>
        </w:rPr>
        <w:t>УКТ ЗЕД</w:t>
      </w:r>
      <w:r>
        <w:rPr>
          <w:rFonts w:ascii="Arial"/>
          <w:b w:val="false"/>
          <w:i w:val="false"/>
          <w:color w:val="000000"/>
          <w:sz w:val="18"/>
        </w:rPr>
        <w:t>, як вироблених в Україні, так і ввезених на митну територію України, здійснюють за умови їх відповідності екологічним нормам не нижче рівня "ЄВРО-3", а також за умови, що такі транспортні засоби ввозяться на митну територію України юридичними особами для власного використання та не можуть бути відчужені такими особами протягом 1095 днів з дня їх першої державної реєстрації в Україні.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Дія цієї статті не поширюється на транспортні засоби, які походять або ввозяться з Російської Федерації, Республіки Білорусь та тимчасово окупованих територій України".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Президент України</w:t>
            </w:r>
          </w:p>
          <w:bookmarkEnd w:id="33"/>
        </w:tc>
        <w:tc>
          <w:tcPr>
            <w:tcW w:w="4845" w:type="dxa"/>
            <w:tcBorders/>
            <w:vAlign w:val="center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ЗЕЛЕНСЬКИЙ</w:t>
            </w:r>
          </w:p>
          <w:bookmarkEnd w:id="34"/>
        </w:tc>
      </w:tr>
      <w:tr>
        <w:trPr>
          <w:trHeight w:val="120" w:hRule="atLeast"/>
        </w:trPr>
        <w:tc>
          <w:tcPr>
            <w:tcW w:w="4845" w:type="dxa"/>
            <w:tcBorders/>
            <w:vAlign w:val="center"/>
          </w:tcPr>
          <w:bookmarkStart w:name="36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м. Київ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21 червня 2022 року</w:t>
            </w:r>
            <w:r>
              <w:br/>
            </w:r>
            <w:r>
              <w:rPr>
                <w:rFonts w:ascii="Arial"/>
                <w:b/>
                <w:i w:val="false"/>
                <w:color w:val="000000"/>
                <w:sz w:val="15"/>
              </w:rPr>
              <w:t>N 2325-IX</w:t>
            </w:r>
          </w:p>
          <w:bookmarkEnd w:id="35"/>
        </w:tc>
        <w:tc>
          <w:tcPr>
            <w:tcW w:w="4845" w:type="dxa"/>
            <w:tcBorders/>
            <w:vAlign w:val="center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"/>
        </w:tc>
      </w:tr>
    </w:tbl>
    <w:p>
      <w:pPr>
        <w:spacing/>
        <w:ind w:left="0"/>
        <w:jc w:val="left"/>
      </w:pPr>
      <w:r>
        <w:br/>
      </w:r>
    </w:p>
    <w:bookmarkStart w:name="38" w:id="37"/>
    <w:p>
      <w:pPr>
        <w:spacing w:after="0"/>
        <w:ind w:firstLine="240"/>
        <w:jc w:val="left"/>
      </w:pPr>
    </w:p>
    <w:bookmarkEnd w:id="3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