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70" w:rsidRDefault="005903E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70" w:rsidRDefault="005903EA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C0970" w:rsidRDefault="005903EA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:rsidR="00DC0970" w:rsidRDefault="005903EA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14 </w:t>
      </w:r>
      <w:r>
        <w:rPr>
          <w:rFonts w:ascii="Arial"/>
          <w:b/>
          <w:color w:val="000000"/>
          <w:sz w:val="18"/>
        </w:rPr>
        <w:t>березня</w:t>
      </w:r>
      <w:r>
        <w:rPr>
          <w:rFonts w:ascii="Arial"/>
          <w:b/>
          <w:color w:val="000000"/>
          <w:sz w:val="18"/>
        </w:rPr>
        <w:t xml:space="preserve"> 2018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178</w:t>
      </w:r>
    </w:p>
    <w:p w:rsidR="00DC0970" w:rsidRDefault="005903EA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Київ</w:t>
      </w:r>
    </w:p>
    <w:p w:rsidR="00DC0970" w:rsidRDefault="005903EA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перереєстрації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DC0970" w:rsidRDefault="005903EA">
      <w:pPr>
        <w:spacing w:after="0"/>
        <w:jc w:val="center"/>
      </w:pPr>
      <w:bookmarkStart w:id="6" w:name="76"/>
      <w:bookmarkEnd w:id="5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863)</w:t>
      </w:r>
    </w:p>
    <w:p w:rsidR="00DC0970" w:rsidRDefault="005903EA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1949;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178), </w:t>
      </w:r>
      <w:r>
        <w:rPr>
          <w:rFonts w:ascii="Arial"/>
          <w:color w:val="000000"/>
          <w:sz w:val="18"/>
        </w:rPr>
        <w:t>виклавши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C097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C0970" w:rsidRDefault="005903EA">
            <w:pPr>
              <w:spacing w:after="0"/>
              <w:jc w:val="center"/>
            </w:pPr>
            <w:bookmarkStart w:id="10" w:name="10"/>
            <w:bookmarkEnd w:id="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C0970" w:rsidRDefault="005903EA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ГРОЙСМАН</w:t>
            </w:r>
          </w:p>
        </w:tc>
        <w:bookmarkEnd w:id="11"/>
      </w:tr>
    </w:tbl>
    <w:p w:rsidR="00DC0970" w:rsidRDefault="005903EA">
      <w:r>
        <w:br/>
      </w:r>
    </w:p>
    <w:p w:rsidR="00DC0970" w:rsidRDefault="005903EA">
      <w:pPr>
        <w:spacing w:after="0"/>
        <w:ind w:firstLine="240"/>
      </w:pPr>
      <w:bookmarkStart w:id="12" w:name="1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DC0970" w:rsidRDefault="005903EA">
      <w:pPr>
        <w:spacing w:after="0"/>
        <w:ind w:firstLine="240"/>
      </w:pPr>
      <w:bookmarkStart w:id="13" w:name="13"/>
      <w:bookmarkEnd w:id="12"/>
      <w:r>
        <w:rPr>
          <w:rFonts w:ascii="Arial"/>
          <w:color w:val="000000"/>
          <w:sz w:val="18"/>
        </w:rPr>
        <w:t xml:space="preserve"> </w:t>
      </w:r>
    </w:p>
    <w:p w:rsidR="00DC0970" w:rsidRDefault="005903EA">
      <w:pPr>
        <w:spacing w:after="0"/>
        <w:ind w:firstLine="240"/>
        <w:jc w:val="right"/>
      </w:pPr>
      <w:bookmarkStart w:id="14" w:name="14"/>
      <w:bookmarkEnd w:id="1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178)</w:t>
      </w:r>
    </w:p>
    <w:p w:rsidR="00DC0970" w:rsidRDefault="005903EA">
      <w:pPr>
        <w:pStyle w:val="3"/>
        <w:spacing w:after="0"/>
        <w:jc w:val="center"/>
      </w:pPr>
      <w:bookmarkStart w:id="15" w:name="15"/>
      <w:bookmarkEnd w:id="14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перереєстрації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DC0970" w:rsidRDefault="005903EA">
      <w:pPr>
        <w:spacing w:after="0"/>
        <w:ind w:firstLine="240"/>
      </w:pPr>
      <w:bookmarkStart w:id="16" w:name="16"/>
      <w:bookmarkEnd w:id="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).</w:t>
      </w:r>
    </w:p>
    <w:p w:rsidR="00DC0970" w:rsidRDefault="005903EA">
      <w:pPr>
        <w:spacing w:after="0"/>
        <w:ind w:firstLine="240"/>
      </w:pPr>
      <w:bookmarkStart w:id="17" w:name="17"/>
      <w:bookmarkEnd w:id="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".</w:t>
      </w:r>
    </w:p>
    <w:p w:rsidR="00DC0970" w:rsidRDefault="005903EA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19" w:name="19"/>
      <w:bookmarkEnd w:id="18"/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0" w:name="20"/>
      <w:bookmarkEnd w:id="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1" w:name="21"/>
      <w:bookmarkEnd w:id="20"/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2" w:name="22"/>
      <w:bookmarkEnd w:id="21"/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3" w:name="23"/>
      <w:bookmarkEnd w:id="22"/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4" w:name="24"/>
      <w:bookmarkEnd w:id="23"/>
      <w:r>
        <w:rPr>
          <w:rFonts w:ascii="Arial"/>
          <w:color w:val="000000"/>
          <w:sz w:val="18"/>
        </w:rPr>
        <w:lastRenderedPageBreak/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5" w:name="25"/>
      <w:bookmarkEnd w:id="24"/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6" w:name="26"/>
      <w:bookmarkEnd w:id="25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інсектицидні</w:t>
      </w:r>
      <w:r>
        <w:rPr>
          <w:rFonts w:ascii="Arial"/>
          <w:color w:val="000000"/>
          <w:sz w:val="18"/>
        </w:rPr>
        <w:t>);</w:t>
      </w:r>
    </w:p>
    <w:p w:rsidR="00DC0970" w:rsidRDefault="005903EA">
      <w:pPr>
        <w:spacing w:after="0"/>
        <w:ind w:firstLine="240"/>
      </w:pPr>
      <w:bookmarkStart w:id="27" w:name="27"/>
      <w:bookmarkEnd w:id="26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синантропних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8" w:name="28"/>
      <w:bookmarkEnd w:id="27"/>
      <w:r>
        <w:rPr>
          <w:rFonts w:ascii="Arial"/>
          <w:color w:val="000000"/>
          <w:sz w:val="18"/>
        </w:rPr>
        <w:t>відлякування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29" w:name="29"/>
      <w:bookmarkEnd w:id="28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30" w:name="30"/>
      <w:bookmarkEnd w:id="29"/>
      <w:r>
        <w:rPr>
          <w:rFonts w:ascii="Arial"/>
          <w:color w:val="000000"/>
          <w:sz w:val="18"/>
        </w:rPr>
        <w:t>деконтамінації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31" w:name="31"/>
      <w:bookmarkEnd w:id="30"/>
      <w:r>
        <w:rPr>
          <w:rFonts w:ascii="Arial"/>
          <w:color w:val="000000"/>
          <w:sz w:val="18"/>
        </w:rPr>
        <w:t>достерилізаційного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32" w:name="32"/>
      <w:bookmarkEnd w:id="31"/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достерилізаційного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33" w:name="33"/>
      <w:bookmarkEnd w:id="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34" w:name="34"/>
      <w:bookmarkEnd w:id="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35" w:name="35"/>
      <w:bookmarkEnd w:id="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36" w:name="36"/>
      <w:bookmarkEnd w:id="35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);</w:t>
      </w:r>
    </w:p>
    <w:p w:rsidR="00DC0970" w:rsidRDefault="005903EA">
      <w:pPr>
        <w:spacing w:after="0"/>
        <w:ind w:firstLine="240"/>
      </w:pPr>
      <w:bookmarkStart w:id="37" w:name="37"/>
      <w:bookmarkEnd w:id="36"/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);</w:t>
      </w:r>
    </w:p>
    <w:p w:rsidR="00DC0970" w:rsidRDefault="005903EA">
      <w:pPr>
        <w:spacing w:after="0"/>
        <w:ind w:firstLine="240"/>
      </w:pPr>
      <w:bookmarkStart w:id="38" w:name="38"/>
      <w:bookmarkEnd w:id="37"/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);</w:t>
      </w:r>
    </w:p>
    <w:p w:rsidR="00DC0970" w:rsidRDefault="005903EA">
      <w:pPr>
        <w:spacing w:after="0"/>
        <w:ind w:firstLine="240"/>
      </w:pPr>
      <w:bookmarkStart w:id="39" w:name="39"/>
      <w:bookmarkEnd w:id="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40" w:name="40"/>
      <w:bookmarkEnd w:id="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41" w:name="41"/>
      <w:bookmarkEnd w:id="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42" w:name="42"/>
      <w:bookmarkEnd w:id="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43" w:name="43"/>
      <w:bookmarkEnd w:id="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).</w:t>
      </w:r>
    </w:p>
    <w:p w:rsidR="00DC0970" w:rsidRDefault="005903EA">
      <w:pPr>
        <w:spacing w:after="0"/>
        <w:ind w:firstLine="240"/>
      </w:pPr>
      <w:bookmarkStart w:id="44" w:name="44"/>
      <w:bookmarkEnd w:id="43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45" w:name="45"/>
      <w:bookmarkEnd w:id="44"/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46" w:name="46"/>
      <w:bookmarkEnd w:id="45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47" w:name="47"/>
      <w:bookmarkEnd w:id="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48" w:name="48"/>
      <w:bookmarkEnd w:id="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49" w:name="49"/>
      <w:bookmarkEnd w:id="48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0" w:name="50"/>
      <w:bookmarkEnd w:id="4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1" w:name="51"/>
      <w:bookmarkEnd w:id="5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2" w:name="52"/>
      <w:bookmarkEnd w:id="5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3" w:name="53"/>
      <w:bookmarkEnd w:id="52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оступу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4" w:name="54"/>
      <w:bookmarkEnd w:id="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5" w:name="55"/>
      <w:bookmarkEnd w:id="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6" w:name="56"/>
      <w:bookmarkEnd w:id="5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57" w:name="57"/>
      <w:bookmarkEnd w:id="5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58" w:name="58"/>
      <w:bookmarkEnd w:id="57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59" w:name="59"/>
      <w:bookmarkEnd w:id="58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60" w:name="60"/>
      <w:bookmarkEnd w:id="59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61" w:name="61"/>
      <w:bookmarkEnd w:id="60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62" w:name="62"/>
      <w:bookmarkEnd w:id="61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63" w:name="63"/>
      <w:bookmarkEnd w:id="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64" w:name="64"/>
      <w:bookmarkEnd w:id="63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65" w:name="65"/>
      <w:bookmarkEnd w:id="64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66" w:name="66"/>
      <w:bookmarkEnd w:id="6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67" w:name="67"/>
      <w:bookmarkEnd w:id="6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68" w:name="68"/>
      <w:bookmarkEnd w:id="6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69" w:name="69"/>
      <w:bookmarkEnd w:id="68"/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70" w:name="70"/>
      <w:bookmarkEnd w:id="6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</w:t>
      </w:r>
      <w:r>
        <w:rPr>
          <w:rFonts w:ascii="Arial"/>
          <w:color w:val="000000"/>
          <w:sz w:val="18"/>
        </w:rPr>
        <w:t>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C0970" w:rsidRDefault="005903EA">
      <w:pPr>
        <w:spacing w:after="0"/>
        <w:ind w:firstLine="240"/>
      </w:pPr>
      <w:bookmarkStart w:id="71" w:name="71"/>
      <w:bookmarkEnd w:id="7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DC0970" w:rsidRDefault="005903EA">
      <w:pPr>
        <w:spacing w:after="0"/>
        <w:ind w:firstLine="240"/>
      </w:pPr>
      <w:bookmarkStart w:id="72" w:name="72"/>
      <w:bookmarkEnd w:id="71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C0970" w:rsidRDefault="005903EA">
      <w:pPr>
        <w:spacing w:after="0"/>
        <w:ind w:firstLine="240"/>
      </w:pPr>
      <w:bookmarkStart w:id="73" w:name="73"/>
      <w:bookmarkEnd w:id="72"/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DC0970" w:rsidRDefault="005903EA" w:rsidP="005903EA">
      <w:pPr>
        <w:spacing w:after="0"/>
        <w:jc w:val="center"/>
      </w:pPr>
      <w:bookmarkStart w:id="74" w:name="74"/>
      <w:bookmarkEnd w:id="73"/>
      <w:r>
        <w:rPr>
          <w:rFonts w:ascii="Arial"/>
          <w:color w:val="000000"/>
          <w:sz w:val="18"/>
        </w:rPr>
        <w:t>____________</w:t>
      </w:r>
      <w:bookmarkStart w:id="75" w:name="_GoBack"/>
      <w:bookmarkEnd w:id="74"/>
      <w:bookmarkEnd w:id="75"/>
    </w:p>
    <w:sectPr w:rsidR="00DC09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970"/>
    <w:rsid w:val="005903EA"/>
    <w:rsid w:val="00D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2023-09-30T11:28:00Z</dcterms:created>
  <dcterms:modified xsi:type="dcterms:W3CDTF">2023-09-30T11:28:00Z</dcterms:modified>
</cp:coreProperties>
</file>