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d5fa" w14:textId="c1ed5fa">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ЗАХИСТУ ДОВКІЛЛЯ ТА ПРИРОДНИХ РЕСУРСІВ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04.04.2022</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167</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11 квітня 2022 р. за N 406/37742</w:t>
      </w:r>
    </w:p>
    <w:bookmarkEnd w:id="6"/>
    <w:bookmarkStart w:name="8" w:id="7"/>
    <w:p>
      <w:pPr>
        <w:pStyle w:val="Heading2"/>
        <w:spacing w:after="0"/>
        <w:ind w:left="0"/>
        <w:jc w:val="center"/>
      </w:pPr>
      <w:r>
        <w:rPr>
          <w:rFonts w:ascii="Arial"/>
          <w:color w:val="000000"/>
          <w:sz w:val="27"/>
        </w:rPr>
        <w:t>Про затвердження Методики визначення розміру шкоди, завданої землі, ґрунтам внаслідок надзвичайних ситуацій та/або збройної агресії та бойових дій під час дії воєнного стану</w:t>
      </w:r>
    </w:p>
    <w:bookmarkEnd w:id="7"/>
    <w:bookmarkStart w:name="9" w:id="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статей 2</w:t>
      </w:r>
      <w:r>
        <w:rPr>
          <w:rFonts w:ascii="Arial"/>
          <w:b w:val="false"/>
          <w:i w:val="false"/>
          <w:color w:val="000000"/>
          <w:sz w:val="18"/>
        </w:rPr>
        <w:t xml:space="preserve"> та </w:t>
      </w:r>
      <w:r>
        <w:rPr>
          <w:rFonts w:ascii="Arial"/>
          <w:b w:val="false"/>
          <w:i w:val="false"/>
          <w:color w:val="000000"/>
          <w:sz w:val="18"/>
        </w:rPr>
        <w:t>5 Закону України "Про охорону навколишнього природного середовища"</w:t>
      </w:r>
      <w:r>
        <w:rPr>
          <w:rFonts w:ascii="Arial"/>
          <w:b w:val="false"/>
          <w:i w:val="false"/>
          <w:color w:val="000000"/>
          <w:sz w:val="18"/>
        </w:rPr>
        <w:t xml:space="preserve">, </w:t>
      </w:r>
      <w:r>
        <w:rPr>
          <w:rFonts w:ascii="Arial"/>
          <w:b w:val="false"/>
          <w:i w:val="false"/>
          <w:color w:val="000000"/>
          <w:sz w:val="18"/>
        </w:rPr>
        <w:t>статті 2 Закону України "Про охорону земель"</w:t>
      </w:r>
      <w:r>
        <w:rPr>
          <w:rFonts w:ascii="Arial"/>
          <w:b w:val="false"/>
          <w:i w:val="false"/>
          <w:color w:val="000000"/>
          <w:sz w:val="18"/>
        </w:rPr>
        <w:t xml:space="preserve"> та пункту 8 Положення про Міністерство захисту довкілля та природних ресурсів України, затвердженого </w:t>
      </w:r>
      <w:r>
        <w:rPr>
          <w:rFonts w:ascii="Arial"/>
          <w:b w:val="false"/>
          <w:i w:val="false"/>
          <w:color w:val="000000"/>
          <w:sz w:val="18"/>
        </w:rPr>
        <w:t>постановою Кабінету Міністрів України від 25 червня 2020 року N 614</w:t>
      </w:r>
      <w:r>
        <w:rPr>
          <w:rFonts w:ascii="Arial"/>
          <w:b w:val="false"/>
          <w:i w:val="false"/>
          <w:color w:val="000000"/>
          <w:sz w:val="18"/>
        </w:rPr>
        <w:t>, з метою врегулювання питань визначення розміру шкоди, завданої землі, ґрунтам внаслідок надзвичайних ситуацій та/або збройної агресії та бойових дій під час дії воєнного стану,</w:t>
      </w:r>
    </w:p>
    <w:bookmarkEnd w:id="8"/>
    <w:bookmarkStart w:name="10" w:id="9"/>
    <w:p>
      <w:pPr>
        <w:spacing w:after="0"/>
        <w:ind w:firstLine="240"/>
        <w:jc w:val="left"/>
      </w:pPr>
      <w:r>
        <w:rPr>
          <w:rFonts w:ascii="Arial"/>
          <w:b/>
          <w:i w:val="false"/>
          <w:color w:val="000000"/>
          <w:sz w:val="18"/>
        </w:rPr>
        <w:t>НАКАЗУЮ:</w:t>
      </w:r>
    </w:p>
    <w:bookmarkEnd w:id="9"/>
    <w:bookmarkStart w:name="11" w:id="10"/>
    <w:p>
      <w:pPr>
        <w:spacing w:after="0"/>
        <w:ind w:firstLine="240"/>
        <w:jc w:val="left"/>
      </w:pPr>
      <w:r>
        <w:rPr>
          <w:rFonts w:ascii="Arial"/>
          <w:b w:val="false"/>
          <w:i w:val="false"/>
          <w:color w:val="000000"/>
          <w:sz w:val="18"/>
        </w:rPr>
        <w:t>1. Затвердити Методику визначення розміру шкоди, завданої землі, ґрунтам внаслідок надзвичайних ситуацій та/або збройної агресії та бойових дій під час дії воєнного стану, що додається.</w:t>
      </w:r>
    </w:p>
    <w:bookmarkEnd w:id="10"/>
    <w:bookmarkStart w:name="12" w:id="11"/>
    <w:p>
      <w:pPr>
        <w:spacing w:after="0"/>
        <w:ind w:firstLine="240"/>
        <w:jc w:val="left"/>
      </w:pPr>
      <w:r>
        <w:rPr>
          <w:rFonts w:ascii="Arial"/>
          <w:b w:val="false"/>
          <w:i w:val="false"/>
          <w:color w:val="000000"/>
          <w:sz w:val="18"/>
        </w:rPr>
        <w:t>2. Департаменту екологічної оцінки, контролю та екологічних фінансів (Лада КОТЯШ) забезпечити подання цього наказу на державну реєстрацію до Міністерства юстиції України в установленому порядку.</w:t>
      </w:r>
    </w:p>
    <w:bookmarkEnd w:id="11"/>
    <w:bookmarkStart w:name="13" w:id="12"/>
    <w:p>
      <w:pPr>
        <w:spacing w:after="0"/>
        <w:ind w:firstLine="240"/>
        <w:jc w:val="left"/>
      </w:pPr>
      <w:r>
        <w:rPr>
          <w:rFonts w:ascii="Arial"/>
          <w:b w:val="false"/>
          <w:i w:val="false"/>
          <w:color w:val="000000"/>
          <w:sz w:val="18"/>
        </w:rPr>
        <w:t>3. Цей наказ набирає чинності з дня його офіційного опублікування.</w:t>
      </w:r>
    </w:p>
    <w:bookmarkEnd w:id="12"/>
    <w:bookmarkStart w:name="14" w:id="13"/>
    <w:p>
      <w:pPr>
        <w:spacing w:after="0"/>
        <w:ind w:firstLine="240"/>
        <w:jc w:val="left"/>
      </w:pPr>
      <w:r>
        <w:rPr>
          <w:rFonts w:ascii="Arial"/>
          <w:b w:val="false"/>
          <w:i w:val="false"/>
          <w:color w:val="000000"/>
          <w:sz w:val="18"/>
        </w:rPr>
        <w:t>4. Контроль за виконанням цього наказу покласти на заступника Міністра ШАХМАТЕНКА Романа.</w:t>
      </w:r>
    </w:p>
    <w:bookmarkEnd w:id="13"/>
    <w:bookmarkStart w:name="15" w:id="14"/>
    <w:p>
      <w:pPr>
        <w:spacing w:after="0"/>
        <w:ind w:firstLine="240"/>
        <w:jc w:val="left"/>
      </w:pPr>
      <w:r>
        <w:rPr>
          <w:rFonts w:ascii="Arial"/>
          <w:b w:val="false"/>
          <w:i w:val="false"/>
          <w:color w:val="000000"/>
          <w:sz w:val="18"/>
        </w:rPr>
        <w:t xml:space="preserve"> </w:t>
      </w:r>
    </w:p>
    <w:bookmarkEnd w:id="14"/>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6" w:id="15"/>
          <w:p>
            <w:pPr>
              <w:spacing w:after="0"/>
              <w:ind w:left="0"/>
              <w:jc w:val="center"/>
            </w:pPr>
            <w:r>
              <w:rPr>
                <w:rFonts w:ascii="Arial"/>
                <w:b/>
                <w:i w:val="false"/>
                <w:color w:val="000000"/>
                <w:sz w:val="15"/>
              </w:rPr>
              <w:t>В. о. Міністра</w:t>
            </w:r>
          </w:p>
          <w:bookmarkEnd w:id="15"/>
        </w:tc>
        <w:tc>
          <w:tcPr>
            <w:tcW w:w="4845" w:type="dxa"/>
            <w:tcBorders/>
            <w:vAlign w:val="center"/>
          </w:tcPr>
          <w:bookmarkStart w:name="17" w:id="16"/>
          <w:p>
            <w:pPr>
              <w:spacing w:after="0"/>
              <w:ind w:left="0"/>
              <w:jc w:val="center"/>
            </w:pPr>
            <w:r>
              <w:rPr>
                <w:rFonts w:ascii="Arial"/>
                <w:b/>
                <w:i w:val="false"/>
                <w:color w:val="000000"/>
                <w:sz w:val="15"/>
              </w:rPr>
              <w:t>Руслан СТРІЛЕЦЬ</w:t>
            </w:r>
          </w:p>
          <w:bookmarkEnd w:id="16"/>
        </w:tc>
      </w:tr>
      <w:tr>
        <w:trPr>
          <w:trHeight w:val="120" w:hRule="atLeast"/>
        </w:trPr>
        <w:tc>
          <w:tcPr>
            <w:tcW w:w="4845" w:type="dxa"/>
            <w:tcBorders/>
            <w:vAlign w:val="center"/>
          </w:tcPr>
          <w:bookmarkStart w:name="18" w:id="17"/>
          <w:p>
            <w:pPr>
              <w:spacing w:after="0"/>
              <w:ind w:left="0"/>
              <w:jc w:val="center"/>
            </w:pPr>
            <w:r>
              <w:rPr>
                <w:rFonts w:ascii="Arial"/>
                <w:b/>
                <w:i w:val="false"/>
                <w:color w:val="000000"/>
                <w:sz w:val="15"/>
              </w:rPr>
              <w:t>ПОГОДЖЕНО:</w:t>
            </w:r>
          </w:p>
          <w:bookmarkEnd w:id="17"/>
        </w:tc>
        <w:tc>
          <w:tcPr>
            <w:tcW w:w="4845" w:type="dxa"/>
            <w:tcBorders/>
            <w:vAlign w:val="center"/>
          </w:tcPr>
          <w:bookmarkStart w:name="19" w:id="18"/>
          <w:p>
            <w:pPr>
              <w:spacing w:after="0"/>
              <w:ind w:left="0"/>
              <w:jc w:val="center"/>
            </w:pPr>
            <w:r>
              <w:rPr>
                <w:rFonts w:ascii="Arial"/>
                <w:b w:val="false"/>
                <w:i w:val="false"/>
                <w:color w:val="000000"/>
                <w:sz w:val="15"/>
              </w:rPr>
              <w:t xml:space="preserve"> </w:t>
            </w:r>
          </w:p>
          <w:bookmarkEnd w:id="18"/>
        </w:tc>
      </w:tr>
      <w:tr>
        <w:trPr>
          <w:trHeight w:val="120" w:hRule="atLeast"/>
        </w:trPr>
        <w:tc>
          <w:tcPr>
            <w:tcW w:w="4845" w:type="dxa"/>
            <w:tcBorders/>
            <w:vAlign w:val="center"/>
          </w:tcPr>
          <w:bookmarkStart w:name="20" w:id="19"/>
          <w:p>
            <w:pPr>
              <w:spacing w:after="0"/>
              <w:ind w:left="0"/>
              <w:jc w:val="center"/>
            </w:pPr>
            <w:r>
              <w:rPr>
                <w:rFonts w:ascii="Arial"/>
                <w:b/>
                <w:i w:val="false"/>
                <w:color w:val="000000"/>
                <w:sz w:val="15"/>
              </w:rPr>
              <w:t>Т. в. о. Голови Державної</w:t>
            </w:r>
            <w:r>
              <w:br/>
            </w:r>
            <w:r>
              <w:rPr>
                <w:rFonts w:ascii="Arial"/>
                <w:b/>
                <w:i w:val="false"/>
                <w:color w:val="000000"/>
                <w:sz w:val="15"/>
              </w:rPr>
              <w:t>екологічної інспекції України</w:t>
            </w:r>
          </w:p>
          <w:bookmarkEnd w:id="19"/>
        </w:tc>
        <w:tc>
          <w:tcPr>
            <w:tcW w:w="4845" w:type="dxa"/>
            <w:tcBorders/>
            <w:vAlign w:val="center"/>
          </w:tcPr>
          <w:bookmarkStart w:name="21" w:id="20"/>
          <w:p>
            <w:pPr>
              <w:spacing w:after="0"/>
              <w:ind w:left="0"/>
              <w:jc w:val="center"/>
            </w:pPr>
            <w:r>
              <w:rPr>
                <w:rFonts w:ascii="Arial"/>
                <w:b/>
                <w:i w:val="false"/>
                <w:color w:val="000000"/>
                <w:sz w:val="15"/>
              </w:rPr>
              <w:t>Ігор ЗУБОВИЧ</w:t>
            </w:r>
          </w:p>
          <w:bookmarkEnd w:id="20"/>
        </w:tc>
      </w:tr>
    </w:tbl>
    <w:p>
      <w:pPr>
        <w:spacing/>
        <w:ind w:left="0"/>
        <w:jc w:val="left"/>
      </w:pPr>
      <w:r>
        <w:br/>
      </w:r>
    </w:p>
    <w:bookmarkStart w:name="22" w:id="21"/>
    <w:p>
      <w:pPr>
        <w:spacing w:after="0"/>
        <w:ind w:firstLine="240"/>
        <w:jc w:val="left"/>
      </w:pPr>
      <w:r>
        <w:rPr>
          <w:rFonts w:ascii="Arial"/>
          <w:b w:val="false"/>
          <w:i w:val="false"/>
          <w:color w:val="000000"/>
          <w:sz w:val="18"/>
        </w:rPr>
        <w:t xml:space="preserve"> </w:t>
      </w:r>
    </w:p>
    <w:bookmarkEnd w:id="21"/>
    <w:bookmarkStart w:name="23" w:id="22"/>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захисту довкілля та природних ресурсів України</w:t>
      </w:r>
      <w:r>
        <w:br/>
      </w:r>
      <w:r>
        <w:rPr>
          <w:rFonts w:ascii="Arial"/>
          <w:b w:val="false"/>
          <w:i w:val="false"/>
          <w:color w:val="000000"/>
          <w:sz w:val="18"/>
        </w:rPr>
        <w:t>04 квітня 2022 року N 167</w:t>
      </w:r>
    </w:p>
    <w:bookmarkEnd w:id="22"/>
    <w:bookmarkStart w:name="24" w:id="23"/>
    <w:p>
      <w:pPr>
        <w:pStyle w:val="Heading3"/>
        <w:spacing w:after="0"/>
        <w:ind w:left="0"/>
        <w:jc w:val="center"/>
      </w:pPr>
      <w:r>
        <w:rPr>
          <w:rFonts w:ascii="Arial"/>
          <w:color w:val="000000"/>
          <w:sz w:val="27"/>
        </w:rPr>
        <w:t>Методика визначення розміру шкоди, завданої землі, ґрунтам внаслідок надзвичайних ситуацій та/або збройної агресії та бойових дій під час дії воєнного стану</w:t>
      </w:r>
    </w:p>
    <w:bookmarkEnd w:id="23"/>
    <w:bookmarkStart w:name="25" w:id="24"/>
    <w:p>
      <w:pPr>
        <w:pStyle w:val="Heading3"/>
        <w:spacing w:after="0"/>
        <w:ind w:left="0"/>
        <w:jc w:val="center"/>
      </w:pPr>
      <w:r>
        <w:rPr>
          <w:rFonts w:ascii="Arial"/>
          <w:color w:val="000000"/>
          <w:sz w:val="27"/>
        </w:rPr>
        <w:t>I. Загальні положення</w:t>
      </w:r>
    </w:p>
    <w:bookmarkEnd w:id="24"/>
    <w:bookmarkStart w:name="26" w:id="25"/>
    <w:p>
      <w:pPr>
        <w:spacing w:after="0"/>
        <w:ind w:firstLine="240"/>
        <w:jc w:val="left"/>
      </w:pPr>
      <w:r>
        <w:rPr>
          <w:rFonts w:ascii="Arial"/>
          <w:b w:val="false"/>
          <w:i w:val="false"/>
          <w:color w:val="000000"/>
          <w:sz w:val="18"/>
        </w:rPr>
        <w:t>1. Ця Методика визначає порядок розрахунку розміру шкоди, завданої землі, ґрунтам державами, органами виконавчої влади, органами місцевого самоврядування, суб'єктами господарювання та фізичними особами через забруднення ґрунтів, засмічення земель, допущених унаслідок надзвичайних ситуацій та/або збройної агресії та бойових дій під час дії воєнного стану внаслідок їх дій або бездіяльності на усіх землях України незалежно від їх категорій та форм власності.</w:t>
      </w:r>
    </w:p>
    <w:bookmarkEnd w:id="25"/>
    <w:bookmarkStart w:name="27" w:id="26"/>
    <w:p>
      <w:pPr>
        <w:spacing w:after="0"/>
        <w:ind w:firstLine="240"/>
        <w:jc w:val="left"/>
      </w:pPr>
      <w:r>
        <w:rPr>
          <w:rFonts w:ascii="Arial"/>
          <w:b w:val="false"/>
          <w:i w:val="false"/>
          <w:color w:val="000000"/>
          <w:sz w:val="18"/>
        </w:rPr>
        <w:t>2. Ця Методика застосовується для визначення розміру шкоди, завданої землі, ґрунтам унаслідок надзвичайних ситуацій та/або збройної агресії та бойових дій під час дії воєнного стану.</w:t>
      </w:r>
    </w:p>
    <w:bookmarkEnd w:id="26"/>
    <w:bookmarkStart w:name="28" w:id="27"/>
    <w:p>
      <w:pPr>
        <w:spacing w:after="0"/>
        <w:ind w:firstLine="240"/>
        <w:jc w:val="left"/>
      </w:pPr>
      <w:r>
        <w:rPr>
          <w:rFonts w:ascii="Arial"/>
          <w:b w:val="false"/>
          <w:i w:val="false"/>
          <w:color w:val="000000"/>
          <w:sz w:val="18"/>
        </w:rPr>
        <w:t>3. У цій Методиці терміни вживаються у такому значенні:</w:t>
      </w:r>
    </w:p>
    <w:bookmarkEnd w:id="27"/>
    <w:bookmarkStart w:name="29" w:id="28"/>
    <w:p>
      <w:pPr>
        <w:spacing w:after="0"/>
        <w:ind w:firstLine="240"/>
        <w:jc w:val="left"/>
      </w:pPr>
      <w:r>
        <w:rPr>
          <w:rFonts w:ascii="Arial"/>
          <w:b w:val="false"/>
          <w:i w:val="false"/>
          <w:color w:val="000000"/>
          <w:sz w:val="18"/>
        </w:rPr>
        <w:t>забруднення ґрунтів - накопичення в ґрунтах речовин, які негативно впливають на їх родючість та інші корисні властивості;</w:t>
      </w:r>
    </w:p>
    <w:bookmarkEnd w:id="28"/>
    <w:bookmarkStart w:name="30" w:id="29"/>
    <w:p>
      <w:pPr>
        <w:spacing w:after="0"/>
        <w:ind w:firstLine="240"/>
        <w:jc w:val="left"/>
      </w:pPr>
      <w:r>
        <w:rPr>
          <w:rFonts w:ascii="Arial"/>
          <w:b w:val="false"/>
          <w:i w:val="false"/>
          <w:color w:val="000000"/>
          <w:sz w:val="18"/>
        </w:rPr>
        <w:t>засмічення земель - наявність на земельній ділянці сторонніх предметів, матеріалів, відходів та/або інших речовин без відповідних дозволів.</w:t>
      </w:r>
    </w:p>
    <w:bookmarkEnd w:id="29"/>
    <w:bookmarkStart w:name="31" w:id="30"/>
    <w:p>
      <w:pPr>
        <w:pStyle w:val="Heading3"/>
        <w:spacing w:after="0"/>
        <w:ind w:left="0"/>
        <w:jc w:val="center"/>
      </w:pPr>
      <w:r>
        <w:rPr>
          <w:rFonts w:ascii="Arial"/>
          <w:color w:val="000000"/>
          <w:sz w:val="27"/>
        </w:rPr>
        <w:t>II. Порядок визначення шкоди, завданої забрудненням ґрунтів та засміченням земель унаслідок надзвичайних ситуацій та/або збройної агресії та бойових дій під час дії воєнного стану</w:t>
      </w:r>
    </w:p>
    <w:bookmarkEnd w:id="30"/>
    <w:bookmarkStart w:name="32" w:id="31"/>
    <w:p>
      <w:pPr>
        <w:spacing w:after="0"/>
        <w:ind w:firstLine="240"/>
        <w:jc w:val="left"/>
      </w:pPr>
      <w:r>
        <w:rPr>
          <w:rFonts w:ascii="Arial"/>
          <w:b w:val="false"/>
          <w:i w:val="false"/>
          <w:color w:val="000000"/>
          <w:sz w:val="18"/>
        </w:rPr>
        <w:t>1. Ґрунти вважаються забрудненими, за умови якщо в їх складі виявлені негативні якісні зміни. При цьому зміни можуть бути зумовлені не тільки появою в зоні аерації нових забруднюючих речовин, яких раніше не було, а і вмістом небезпечних речовин, що перевищує їх гранично допустиму концентрацію.</w:t>
      </w:r>
    </w:p>
    <w:bookmarkEnd w:id="31"/>
    <w:bookmarkStart w:name="33" w:id="32"/>
    <w:p>
      <w:pPr>
        <w:spacing w:after="0"/>
        <w:ind w:firstLine="240"/>
        <w:jc w:val="left"/>
      </w:pPr>
      <w:r>
        <w:rPr>
          <w:rFonts w:ascii="Arial"/>
          <w:b w:val="false"/>
          <w:i w:val="false"/>
          <w:color w:val="000000"/>
          <w:sz w:val="18"/>
        </w:rPr>
        <w:t>2. Землі вважаються засміченими, якщо на земельній ділянці наявні сторонні предмети, матеріали, відходи та/або інші речовини без відповідних дозволів, які з'явилися на цій земельній ділянці внаслідок надзвичайних ситуацій та/або збройної агресії та бойових дій.</w:t>
      </w:r>
    </w:p>
    <w:bookmarkEnd w:id="32"/>
    <w:bookmarkStart w:name="34" w:id="33"/>
    <w:p>
      <w:pPr>
        <w:spacing w:after="0"/>
        <w:ind w:firstLine="240"/>
        <w:jc w:val="left"/>
      </w:pPr>
      <w:r>
        <w:rPr>
          <w:rFonts w:ascii="Arial"/>
          <w:b w:val="false"/>
          <w:i w:val="false"/>
          <w:color w:val="000000"/>
          <w:sz w:val="18"/>
        </w:rPr>
        <w:t>3. Факти забруднення ґрунтів та/або засмічення земель, а також їх масштаби можуть встановлюються уповноваженими особами, які здійснюють у межах повноважень, передбачених законом, державний нагляд (контроль) за додержанням вимог законодавства про охорону навколишнього природного середовища, зокрема, але не виключно, шляхом огляду земельних ділянок, даних дистанційного зондування землі, досліджень отриманих зразків проб ґрунтів, опрацювань висновків будь-яких експертиз, пояснень, довідок, документів, матеріалів, відомостей, отриманих, зокрема, з будь-яких джерел, оперативних повідомлень фізичних та юридичних осіб тощо.</w:t>
      </w:r>
    </w:p>
    <w:bookmarkEnd w:id="33"/>
    <w:bookmarkStart w:name="35" w:id="34"/>
    <w:p>
      <w:pPr>
        <w:spacing w:after="0"/>
        <w:ind w:firstLine="240"/>
        <w:jc w:val="left"/>
      </w:pPr>
      <w:r>
        <w:rPr>
          <w:rFonts w:ascii="Arial"/>
          <w:b w:val="false"/>
          <w:i w:val="false"/>
          <w:color w:val="000000"/>
          <w:sz w:val="18"/>
        </w:rPr>
        <w:t>4. Визначення обсягу забруднення ґрунтів у кожному випадку є самостійним завданням через різноманітність геоморфологічних, геологічних та гідрологічних умов. За наявності інформації про кількість (об'єм, маса) забруднюючої речовини, яка проникла у певний шар ґрунту, визначаються площа, глибина просочування.</w:t>
      </w:r>
    </w:p>
    <w:bookmarkEnd w:id="34"/>
    <w:bookmarkStart w:name="36" w:id="35"/>
    <w:p>
      <w:pPr>
        <w:spacing w:after="0"/>
        <w:ind w:firstLine="240"/>
        <w:jc w:val="left"/>
      </w:pPr>
      <w:r>
        <w:rPr>
          <w:rFonts w:ascii="Arial"/>
          <w:b w:val="false"/>
          <w:i w:val="false"/>
          <w:color w:val="000000"/>
          <w:sz w:val="18"/>
        </w:rPr>
        <w:t>5. У випадках коли обсяг забруднення не може бути визначено відповідно до пункту 4 цього розділу, визначення обсягу забруднення ґрунтів здійснюється із застосуванням інструментально-лабораторного контролю, а у разі необхідності із залученням спеціалізованих організацій та на основі інших наявних матеріалів, включаючи дані дистанційного зондування землі.</w:t>
      </w:r>
    </w:p>
    <w:bookmarkEnd w:id="35"/>
    <w:bookmarkStart w:name="37" w:id="36"/>
    <w:p>
      <w:pPr>
        <w:pStyle w:val="Heading3"/>
        <w:spacing w:after="0"/>
        <w:ind w:left="0"/>
        <w:jc w:val="center"/>
      </w:pPr>
      <w:r>
        <w:rPr>
          <w:rFonts w:ascii="Arial"/>
          <w:color w:val="000000"/>
          <w:sz w:val="27"/>
        </w:rPr>
        <w:t>III. Визначення розміру шкоди внаслідок забруднення ґрунтів</w:t>
      </w:r>
    </w:p>
    <w:bookmarkEnd w:id="36"/>
    <w:bookmarkStart w:name="38" w:id="37"/>
    <w:p>
      <w:pPr>
        <w:spacing w:after="0"/>
        <w:ind w:firstLine="240"/>
        <w:jc w:val="left"/>
      </w:pPr>
      <w:r>
        <w:rPr>
          <w:rFonts w:ascii="Arial"/>
          <w:b w:val="false"/>
          <w:i w:val="false"/>
          <w:color w:val="000000"/>
          <w:sz w:val="18"/>
        </w:rPr>
        <w:t>1. Розмір шкоди обчислюється уповноваженими особами, що здійснюють державний нагляд (контроль) за додержанням вимог законодавства про охорону навколишнього природного середовища, на основі, зокрема, але не виключно, матеріалів, що підтверджують факт забруднення ґрунтів, визначеного відповідно до пункту 3 розділу II цієї Методики.</w:t>
      </w:r>
    </w:p>
    <w:bookmarkEnd w:id="37"/>
    <w:bookmarkStart w:name="39" w:id="38"/>
    <w:p>
      <w:pPr>
        <w:spacing w:after="0"/>
        <w:ind w:firstLine="240"/>
        <w:jc w:val="left"/>
      </w:pPr>
      <w:r>
        <w:rPr>
          <w:rFonts w:ascii="Arial"/>
          <w:b w:val="false"/>
          <w:i w:val="false"/>
          <w:color w:val="000000"/>
          <w:sz w:val="18"/>
        </w:rPr>
        <w:t>2. Основою розрахунків розміру шкоди від забруднення ґрунтів є нормативна грошова оцінка земельної ділянки, ґрунти якої зазнали забруднення.</w:t>
      </w:r>
    </w:p>
    <w:bookmarkEnd w:id="38"/>
    <w:bookmarkStart w:name="40" w:id="39"/>
    <w:p>
      <w:pPr>
        <w:spacing w:after="0"/>
        <w:ind w:firstLine="240"/>
        <w:jc w:val="left"/>
      </w:pPr>
      <w:r>
        <w:rPr>
          <w:rFonts w:ascii="Arial"/>
          <w:b w:val="false"/>
          <w:i w:val="false"/>
          <w:color w:val="000000"/>
          <w:sz w:val="18"/>
        </w:rPr>
        <w:t>3. Розмірною одиницею для розрахунку величини шкоди приймається об'єм ґрунтової маси 2000 куб. м на один гектар земельної ділянки.</w:t>
      </w:r>
    </w:p>
    <w:bookmarkEnd w:id="39"/>
    <w:bookmarkStart w:name="41" w:id="40"/>
    <w:p>
      <w:pPr>
        <w:spacing w:after="0"/>
        <w:ind w:firstLine="240"/>
        <w:jc w:val="left"/>
      </w:pPr>
      <w:r>
        <w:rPr>
          <w:rFonts w:ascii="Arial"/>
          <w:b w:val="false"/>
          <w:i w:val="false"/>
          <w:color w:val="000000"/>
          <w:sz w:val="18"/>
        </w:rPr>
        <w:t>4. Витрати для здійснення заходів щодо зниження чи ліквідації забруднення ґрунтів збільшуються залежно від глибини просочування забруднюючої речовини у співвідношенні як 10:3 (тобто при збільшенні глибини в 10 разів відносно глибини ґрунтового шару 0,2 м витрати для ліквідації забруднення збільшуються в 3 рази).</w:t>
      </w:r>
    </w:p>
    <w:bookmarkEnd w:id="40"/>
    <w:bookmarkStart w:name="42" w:id="41"/>
    <w:p>
      <w:pPr>
        <w:spacing w:after="0"/>
        <w:ind w:firstLine="240"/>
        <w:jc w:val="left"/>
      </w:pPr>
      <w:r>
        <w:rPr>
          <w:rFonts w:ascii="Arial"/>
          <w:b w:val="false"/>
          <w:i w:val="false"/>
          <w:color w:val="000000"/>
          <w:sz w:val="18"/>
        </w:rPr>
        <w:t xml:space="preserve">5. Забруднюючі речовини, що спричинили забруднення земельної ділянки, поділені на 4 групи небезпечності, основою для визначення яких є величини гранично допустимих концентрацій (ГДК) та орієнтовно допустимих концентрацій (ОДК) хімічних речовин в ґрунті (додаток 1 до Методики визначення розмірів шкоди, зумовленої забрудненням і засміченням земельних ресурсів через порушення природоохоронного законодавства, затвердженої </w:t>
      </w:r>
      <w:r>
        <w:rPr>
          <w:rFonts w:ascii="Arial"/>
          <w:b w:val="false"/>
          <w:i w:val="false"/>
          <w:color w:val="000000"/>
          <w:sz w:val="18"/>
        </w:rPr>
        <w:t>наказом Міністерства охорони навколишнього природного середовища та ядерної безпеки України від 27 жовтня 1997 року N 171</w:t>
      </w:r>
      <w:r>
        <w:rPr>
          <w:rFonts w:ascii="Arial"/>
          <w:b w:val="false"/>
          <w:i w:val="false"/>
          <w:color w:val="000000"/>
          <w:sz w:val="18"/>
        </w:rPr>
        <w:t xml:space="preserve">, зареєстрованої в Міністерстві юстиції України 05 травня 1998 року за N 285/2725 (у редакції </w:t>
      </w:r>
      <w:r>
        <w:rPr>
          <w:rFonts w:ascii="Arial"/>
          <w:b w:val="false"/>
          <w:i w:val="false"/>
          <w:color w:val="000000"/>
          <w:sz w:val="18"/>
        </w:rPr>
        <w:t>наказу Міністерства охорони навколишнього природного середовища України від 04 квітня 2007 року N 149</w:t>
      </w:r>
      <w:r>
        <w:rPr>
          <w:rFonts w:ascii="Arial"/>
          <w:b w:val="false"/>
          <w:i w:val="false"/>
          <w:color w:val="000000"/>
          <w:sz w:val="18"/>
        </w:rPr>
        <w:t xml:space="preserve">) (далі - Методики 171), а також </w:t>
      </w:r>
      <w:r>
        <w:rPr>
          <w:rFonts w:ascii="Arial"/>
          <w:b w:val="false"/>
          <w:i w:val="false"/>
          <w:color w:val="000000"/>
          <w:sz w:val="18"/>
        </w:rPr>
        <w:t>постанова Кабінету Міністрів України від 15 грудня 2021 року N 1325 "Про затвердження нормативів гранично допустимих концентрацій небезпечних речовин у ґрунтах, а також переліку таких речовин"</w:t>
      </w:r>
      <w:r>
        <w:rPr>
          <w:rFonts w:ascii="Arial"/>
          <w:b w:val="false"/>
          <w:i w:val="false"/>
          <w:color w:val="000000"/>
          <w:sz w:val="18"/>
        </w:rPr>
        <w:t>).</w:t>
      </w:r>
    </w:p>
    <w:bookmarkEnd w:id="41"/>
    <w:bookmarkStart w:name="43" w:id="42"/>
    <w:p>
      <w:pPr>
        <w:spacing w:after="0"/>
        <w:ind w:firstLine="240"/>
        <w:jc w:val="left"/>
      </w:pPr>
      <w:r>
        <w:rPr>
          <w:rFonts w:ascii="Arial"/>
          <w:b w:val="false"/>
          <w:i w:val="false"/>
          <w:color w:val="000000"/>
          <w:sz w:val="18"/>
        </w:rPr>
        <w:t>6. Розмір шкоди від забруднення ґрунтів визначається за формулою (1):</w:t>
      </w:r>
    </w:p>
    <w:bookmarkEnd w:id="42"/>
    <w:tbl>
      <w:tblPr>
        <w:tblW w:w="0" w:type="auto"/>
        <w:tblCellSpacing w:w="0" w:type="auto"/>
        <w:tblBorders>
          <w:top w:val="none"/>
          <w:left w:val="none"/>
          <w:bottom w:val="none"/>
          <w:right w:val="none"/>
          <w:insideH w:val="none"/>
          <w:insideV w:val="none"/>
        </w:tblBorders>
      </w:tblPr>
      <w:tblGrid>
        <w:gridCol w:w="8334"/>
        <w:gridCol w:w="1356"/>
      </w:tblGrid>
      <w:tr>
        <w:trPr>
          <w:trHeight w:val="30" w:hRule="atLeast"/>
        </w:trPr>
        <w:tc>
          <w:tcPr>
            <w:tcW w:w="8334" w:type="dxa"/>
            <w:tcBorders/>
            <w:vAlign w:val="center"/>
          </w:tcPr>
          <w:bookmarkStart w:name="45" w:id="43"/>
          <w:p>
            <w:pPr>
              <w:spacing w:after="0"/>
              <w:ind w:left="0"/>
              <w:jc w:val="center"/>
            </w:pPr>
            <w:r>
              <w:rPr>
                <w:rFonts w:ascii="Arial"/>
                <w:b/>
                <w:i w:val="false"/>
                <w:color w:val="000000"/>
                <w:sz w:val="15"/>
              </w:rPr>
              <w:t>РШ = А</w:t>
            </w:r>
            <w:r>
              <w:rPr>
                <w:rFonts w:ascii="Arial"/>
                <w:b w:val="false"/>
                <w:i w:val="false"/>
                <w:color w:val="000000"/>
                <w:sz w:val="15"/>
              </w:rPr>
              <w:t xml:space="preserve"> × </w:t>
            </w:r>
            <w:r>
              <w:rPr>
                <w:rFonts w:ascii="Arial"/>
                <w:b/>
                <w:i w:val="false"/>
                <w:color w:val="000000"/>
                <w:sz w:val="15"/>
              </w:rPr>
              <w:t>ГОЗ</w:t>
            </w:r>
            <w:r>
              <w:rPr>
                <w:rFonts w:ascii="Arial"/>
                <w:b w:val="false"/>
                <w:i w:val="false"/>
                <w:color w:val="000000"/>
                <w:sz w:val="15"/>
              </w:rPr>
              <w:t xml:space="preserve"> × </w:t>
            </w:r>
            <w:r>
              <w:rPr>
                <w:rFonts w:ascii="Arial"/>
                <w:b/>
                <w:i w:val="false"/>
                <w:color w:val="000000"/>
                <w:sz w:val="15"/>
              </w:rPr>
              <w:t>ПД</w:t>
            </w:r>
            <w:r>
              <w:rPr>
                <w:rFonts w:ascii="Arial"/>
                <w:b w:val="false"/>
                <w:i w:val="false"/>
                <w:color w:val="000000"/>
                <w:sz w:val="15"/>
              </w:rPr>
              <w:t xml:space="preserve"> × </w:t>
            </w:r>
            <w:r>
              <w:rPr>
                <w:rFonts w:ascii="Arial"/>
                <w:b/>
                <w:i w:val="false"/>
                <w:color w:val="000000"/>
                <w:sz w:val="15"/>
              </w:rPr>
              <w:t>КН</w:t>
            </w:r>
            <w:r>
              <w:rPr>
                <w:rFonts w:ascii="Arial"/>
                <w:b w:val="false"/>
                <w:i w:val="false"/>
                <w:color w:val="000000"/>
                <w:sz w:val="15"/>
              </w:rPr>
              <w:t xml:space="preserve"> × </w:t>
            </w:r>
            <w:r>
              <w:rPr>
                <w:rFonts w:ascii="Arial"/>
                <w:b/>
                <w:i w:val="false"/>
                <w:color w:val="000000"/>
                <w:sz w:val="15"/>
              </w:rPr>
              <w:t>Ко</w:t>
            </w:r>
            <w:r>
              <w:rPr>
                <w:rFonts w:ascii="Arial"/>
                <w:b w:val="false"/>
                <w:i w:val="false"/>
                <w:color w:val="000000"/>
                <w:sz w:val="15"/>
              </w:rPr>
              <w:t xml:space="preserve"> + </w:t>
            </w:r>
            <w:r>
              <w:rPr>
                <w:rFonts w:ascii="Arial"/>
                <w:b/>
                <w:i w:val="false"/>
                <w:color w:val="000000"/>
                <w:sz w:val="15"/>
              </w:rPr>
              <w:t>Вр</w:t>
            </w:r>
            <w:r>
              <w:rPr>
                <w:rFonts w:ascii="Arial"/>
                <w:b w:val="false"/>
                <w:i w:val="false"/>
                <w:color w:val="000000"/>
                <w:sz w:val="15"/>
              </w:rPr>
              <w:t>,</w:t>
            </w:r>
          </w:p>
          <w:bookmarkEnd w:id="43"/>
        </w:tc>
        <w:tc>
          <w:tcPr>
            <w:tcW w:w="1356" w:type="dxa"/>
            <w:tcBorders/>
            <w:vAlign w:val="center"/>
          </w:tcPr>
          <w:bookmarkStart w:name="46" w:id="44"/>
          <w:p>
            <w:pPr>
              <w:spacing w:after="0"/>
              <w:ind w:left="0"/>
              <w:jc w:val="center"/>
            </w:pPr>
            <w:r>
              <w:rPr>
                <w:rFonts w:ascii="Arial"/>
                <w:b w:val="false"/>
                <w:i w:val="false"/>
                <w:color w:val="000000"/>
                <w:sz w:val="15"/>
              </w:rPr>
              <w:t>(1)</w:t>
            </w:r>
          </w:p>
          <w:bookmarkEnd w:id="4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tbl>
            <w:tblPr>
              <w:tblW w:w="0" w:type="auto"/>
              <w:tblCellSpacing w:w="0" w:type="auto"/>
              <w:tblBorders>
                <w:top w:val="none"/>
                <w:left w:val="none"/>
                <w:bottom w:val="none"/>
                <w:right w:val="none"/>
                <w:insideH w:val="none"/>
                <w:insideV w:val="none"/>
              </w:tblBorders>
            </w:tblPr>
            <w:tblGrid>
              <w:gridCol w:w="290"/>
              <w:gridCol w:w="579"/>
              <w:gridCol w:w="8781"/>
            </w:tblGrid>
            <w:tr>
              <w:trPr>
                <w:trHeight w:val="120" w:hRule="atLeast"/>
              </w:trPr>
              <w:tc>
                <w:tcPr>
                  <w:tcW w:w="290" w:type="dxa"/>
                  <w:vMerge w:val="restart"/>
                  <w:tcBorders/>
                  <w:vAlign w:val="center"/>
                </w:tcPr>
                <w:bookmarkStart w:name="47" w:id="45"/>
                <w:p>
                  <w:pPr>
                    <w:spacing w:after="0"/>
                    <w:ind w:left="0"/>
                    <w:jc w:val="left"/>
                  </w:pPr>
                  <w:r>
                    <w:rPr>
                      <w:rFonts w:ascii="Arial"/>
                      <w:b w:val="false"/>
                      <w:i w:val="false"/>
                      <w:color w:val="000000"/>
                      <w:sz w:val="15"/>
                    </w:rPr>
                    <w:t>де</w:t>
                  </w:r>
                </w:p>
                <w:bookmarkEnd w:id="45"/>
              </w:tc>
              <w:tc>
                <w:tcPr>
                  <w:tcW w:w="579" w:type="dxa"/>
                  <w:tcBorders/>
                  <w:vAlign w:val="center"/>
                </w:tcPr>
                <w:bookmarkStart w:name="48" w:id="46"/>
                <w:p>
                  <w:pPr>
                    <w:spacing w:after="0"/>
                    <w:ind w:left="0"/>
                    <w:jc w:val="left"/>
                  </w:pPr>
                  <w:r>
                    <w:rPr>
                      <w:rFonts w:ascii="Arial"/>
                      <w:b/>
                      <w:i w:val="false"/>
                      <w:color w:val="000000"/>
                      <w:sz w:val="15"/>
                    </w:rPr>
                    <w:t>РШ</w:t>
                  </w:r>
                </w:p>
                <w:bookmarkEnd w:id="46"/>
              </w:tc>
              <w:tc>
                <w:tcPr>
                  <w:tcW w:w="8781" w:type="dxa"/>
                  <w:tcBorders/>
                  <w:vAlign w:val="center"/>
                </w:tcPr>
                <w:bookmarkStart w:name="49" w:id="47"/>
                <w:p>
                  <w:pPr>
                    <w:spacing w:after="0"/>
                    <w:ind w:left="0"/>
                    <w:jc w:val="left"/>
                  </w:pPr>
                  <w:r>
                    <w:rPr>
                      <w:rFonts w:ascii="Arial"/>
                      <w:b w:val="false"/>
                      <w:i w:val="false"/>
                      <w:color w:val="000000"/>
                      <w:sz w:val="15"/>
                    </w:rPr>
                    <w:t>- розмір шкоди від забруднення ґрунтів, грн;</w:t>
                  </w:r>
                </w:p>
                <w:bookmarkEnd w:id="47"/>
              </w:tc>
            </w:tr>
            <w:tr>
              <w:trPr>
                <w:trHeight w:val="120" w:hRule="atLeast"/>
              </w:trPr>
              <w:tc>
                <w:tcPr>
                  <w:tcW w:w="0" w:type="auto"/>
                  <w:vMerge/>
                  <w:tcBorders>
                    <w:top w:val="nil"/>
                  </w:tcBorders>
                </w:tcPr>
                <w:p/>
              </w:tc>
              <w:tc>
                <w:tcPr>
                  <w:tcW w:w="579" w:type="dxa"/>
                  <w:tcBorders/>
                  <w:vAlign w:val="center"/>
                </w:tcPr>
                <w:bookmarkStart w:name="50" w:id="48"/>
                <w:p>
                  <w:pPr>
                    <w:spacing w:after="0"/>
                    <w:ind w:left="0"/>
                    <w:jc w:val="left"/>
                  </w:pPr>
                  <w:r>
                    <w:rPr>
                      <w:rFonts w:ascii="Arial"/>
                      <w:b/>
                      <w:i w:val="false"/>
                      <w:color w:val="000000"/>
                      <w:sz w:val="15"/>
                    </w:rPr>
                    <w:t>А</w:t>
                  </w:r>
                </w:p>
                <w:bookmarkEnd w:id="48"/>
              </w:tc>
              <w:tc>
                <w:tcPr>
                  <w:tcW w:w="8781" w:type="dxa"/>
                  <w:tcBorders/>
                  <w:vAlign w:val="center"/>
                </w:tcPr>
                <w:bookmarkStart w:name="51" w:id="49"/>
                <w:p>
                  <w:pPr>
                    <w:spacing w:after="0"/>
                    <w:ind w:left="0"/>
                    <w:jc w:val="left"/>
                  </w:pPr>
                  <w:r>
                    <w:rPr>
                      <w:rFonts w:ascii="Arial"/>
                      <w:b w:val="false"/>
                      <w:i w:val="false"/>
                      <w:color w:val="000000"/>
                      <w:sz w:val="15"/>
                    </w:rPr>
                    <w:t>- питомі витрати на ліквідацію наслідків забруднення ґрунтів відповідної земельної ділянки, значення якого дорівнює 1,5;</w:t>
                  </w:r>
                </w:p>
                <w:bookmarkEnd w:id="49"/>
              </w:tc>
            </w:tr>
            <w:tr>
              <w:trPr>
                <w:trHeight w:val="120" w:hRule="atLeast"/>
              </w:trPr>
              <w:tc>
                <w:tcPr>
                  <w:tcW w:w="0" w:type="auto"/>
                  <w:vMerge/>
                  <w:tcBorders>
                    <w:top w:val="nil"/>
                  </w:tcBorders>
                </w:tcPr>
                <w:p/>
              </w:tc>
              <w:tc>
                <w:tcPr>
                  <w:tcW w:w="579" w:type="dxa"/>
                  <w:tcBorders/>
                  <w:vAlign w:val="center"/>
                </w:tcPr>
                <w:bookmarkStart w:name="52" w:id="50"/>
                <w:p>
                  <w:pPr>
                    <w:spacing w:after="0"/>
                    <w:ind w:left="0"/>
                    <w:jc w:val="left"/>
                  </w:pPr>
                  <w:r>
                    <w:rPr>
                      <w:rFonts w:ascii="Arial"/>
                      <w:b/>
                      <w:i w:val="false"/>
                      <w:color w:val="000000"/>
                      <w:sz w:val="15"/>
                    </w:rPr>
                    <w:t>ГОЗ</w:t>
                  </w:r>
                </w:p>
                <w:bookmarkEnd w:id="50"/>
              </w:tc>
              <w:tc>
                <w:tcPr>
                  <w:tcW w:w="8781" w:type="dxa"/>
                  <w:tcBorders/>
                  <w:vAlign w:val="center"/>
                </w:tcPr>
                <w:bookmarkStart w:name="53" w:id="51"/>
                <w:p>
                  <w:pPr>
                    <w:spacing w:after="0"/>
                    <w:ind w:left="0"/>
                    <w:jc w:val="left"/>
                  </w:pPr>
                  <w:r>
                    <w:rPr>
                      <w:rFonts w:ascii="Arial"/>
                      <w:b w:val="false"/>
                      <w:i w:val="false"/>
                      <w:color w:val="000000"/>
                      <w:sz w:val="15"/>
                    </w:rPr>
                    <w:t>- нормативна грошова оцінка земельної ділянки, ґрунти якої зазнали забруднення, грн/кв. м;</w:t>
                  </w:r>
                </w:p>
                <w:bookmarkEnd w:id="51"/>
              </w:tc>
            </w:tr>
            <w:tr>
              <w:trPr>
                <w:trHeight w:val="120" w:hRule="atLeast"/>
              </w:trPr>
              <w:tc>
                <w:tcPr>
                  <w:tcW w:w="0" w:type="auto"/>
                  <w:vMerge/>
                  <w:tcBorders>
                    <w:top w:val="nil"/>
                  </w:tcBorders>
                </w:tcPr>
                <w:p/>
              </w:tc>
              <w:tc>
                <w:tcPr>
                  <w:tcW w:w="579" w:type="dxa"/>
                  <w:tcBorders/>
                  <w:vAlign w:val="center"/>
                </w:tcPr>
                <w:bookmarkStart w:name="54" w:id="52"/>
                <w:p>
                  <w:pPr>
                    <w:spacing w:after="0"/>
                    <w:ind w:left="0"/>
                    <w:jc w:val="left"/>
                  </w:pPr>
                  <w:r>
                    <w:rPr>
                      <w:rFonts w:ascii="Arial"/>
                      <w:b/>
                      <w:i w:val="false"/>
                      <w:color w:val="000000"/>
                      <w:sz w:val="15"/>
                    </w:rPr>
                    <w:t>ПД</w:t>
                  </w:r>
                </w:p>
                <w:bookmarkEnd w:id="52"/>
              </w:tc>
              <w:tc>
                <w:tcPr>
                  <w:tcW w:w="8781" w:type="dxa"/>
                  <w:tcBorders/>
                  <w:vAlign w:val="center"/>
                </w:tcPr>
                <w:bookmarkStart w:name="55" w:id="53"/>
                <w:p>
                  <w:pPr>
                    <w:spacing w:after="0"/>
                    <w:ind w:left="0"/>
                    <w:jc w:val="left"/>
                  </w:pPr>
                  <w:r>
                    <w:rPr>
                      <w:rFonts w:ascii="Arial"/>
                      <w:b w:val="false"/>
                      <w:i w:val="false"/>
                      <w:color w:val="000000"/>
                      <w:sz w:val="15"/>
                    </w:rPr>
                    <w:t>- площа земельної ділянки, ґрунти якої зазнали забруднення, кв. м;</w:t>
                  </w:r>
                </w:p>
                <w:bookmarkEnd w:id="53"/>
              </w:tc>
            </w:tr>
            <w:tr>
              <w:trPr>
                <w:trHeight w:val="120" w:hRule="atLeast"/>
              </w:trPr>
              <w:tc>
                <w:tcPr>
                  <w:tcW w:w="0" w:type="auto"/>
                  <w:vMerge/>
                  <w:tcBorders>
                    <w:top w:val="nil"/>
                  </w:tcBorders>
                </w:tcPr>
                <w:p/>
              </w:tc>
              <w:tc>
                <w:tcPr>
                  <w:tcW w:w="579" w:type="dxa"/>
                  <w:tcBorders/>
                  <w:vAlign w:val="center"/>
                </w:tcPr>
                <w:bookmarkStart w:name="56" w:id="54"/>
                <w:p>
                  <w:pPr>
                    <w:spacing w:after="0"/>
                    <w:ind w:left="0"/>
                    <w:jc w:val="left"/>
                  </w:pPr>
                  <w:r>
                    <w:rPr>
                      <w:rFonts w:ascii="Arial"/>
                      <w:b/>
                      <w:i w:val="false"/>
                      <w:color w:val="000000"/>
                      <w:sz w:val="15"/>
                    </w:rPr>
                    <w:t>КН</w:t>
                  </w:r>
                </w:p>
                <w:bookmarkEnd w:id="54"/>
              </w:tc>
              <w:tc>
                <w:tcPr>
                  <w:tcW w:w="8781" w:type="dxa"/>
                  <w:tcBorders/>
                  <w:vAlign w:val="center"/>
                </w:tcPr>
                <w:bookmarkStart w:name="57" w:id="55"/>
                <w:p>
                  <w:pPr>
                    <w:spacing w:after="0"/>
                    <w:ind w:left="0"/>
                    <w:jc w:val="left"/>
                  </w:pPr>
                  <w:r>
                    <w:rPr>
                      <w:rFonts w:ascii="Arial"/>
                      <w:b w:val="false"/>
                      <w:i w:val="false"/>
                      <w:color w:val="000000"/>
                      <w:sz w:val="15"/>
                    </w:rPr>
                    <w:t xml:space="preserve">- коефіцієнт небезпечності забруднюючої речовини, значення якого визначається за </w:t>
                  </w:r>
                  <w:r>
                    <w:rPr>
                      <w:rFonts w:ascii="Arial"/>
                      <w:b w:val="false"/>
                      <w:i w:val="false"/>
                      <w:color w:val="000000"/>
                      <w:sz w:val="15"/>
                    </w:rPr>
                    <w:t>додатком 1 до Методики 171</w:t>
                  </w:r>
                  <w:r>
                    <w:rPr>
                      <w:rFonts w:ascii="Arial"/>
                      <w:b w:val="false"/>
                      <w:i w:val="false"/>
                      <w:color w:val="000000"/>
                      <w:sz w:val="15"/>
                    </w:rPr>
                    <w:t>;</w:t>
                  </w:r>
                </w:p>
                <w:bookmarkEnd w:id="55"/>
              </w:tc>
            </w:tr>
            <w:tr>
              <w:trPr>
                <w:trHeight w:val="120" w:hRule="atLeast"/>
              </w:trPr>
              <w:tc>
                <w:tcPr>
                  <w:tcW w:w="0" w:type="auto"/>
                  <w:vMerge/>
                  <w:tcBorders>
                    <w:top w:val="nil"/>
                  </w:tcBorders>
                </w:tcPr>
                <w:p/>
              </w:tc>
              <w:tc>
                <w:tcPr>
                  <w:tcW w:w="579" w:type="dxa"/>
                  <w:tcBorders/>
                  <w:vAlign w:val="center"/>
                </w:tcPr>
                <w:bookmarkStart w:name="58" w:id="56"/>
                <w:p>
                  <w:pPr>
                    <w:spacing w:after="0"/>
                    <w:ind w:left="0"/>
                    <w:jc w:val="left"/>
                  </w:pPr>
                  <w:r>
                    <w:rPr>
                      <w:rFonts w:ascii="Arial"/>
                      <w:b/>
                      <w:i w:val="false"/>
                      <w:color w:val="000000"/>
                      <w:sz w:val="15"/>
                    </w:rPr>
                    <w:t>Ко</w:t>
                  </w:r>
                </w:p>
                <w:bookmarkEnd w:id="56"/>
              </w:tc>
              <w:tc>
                <w:tcPr>
                  <w:tcW w:w="8781" w:type="dxa"/>
                  <w:tcBorders/>
                  <w:vAlign w:val="center"/>
                </w:tcPr>
                <w:bookmarkStart w:name="59" w:id="57"/>
                <w:p>
                  <w:pPr>
                    <w:spacing w:after="0"/>
                    <w:ind w:left="0"/>
                    <w:jc w:val="left"/>
                  </w:pPr>
                  <w:r>
                    <w:rPr>
                      <w:rFonts w:ascii="Arial"/>
                      <w:b w:val="false"/>
                      <w:i w:val="false"/>
                      <w:color w:val="000000"/>
                      <w:sz w:val="15"/>
                    </w:rPr>
                    <w:t xml:space="preserve">- коефіцієнт, що застосовується для врахування природоохоронної цінності земельної ділянки, визначений у додатку 10 до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затвердженої </w:t>
                  </w:r>
                  <w:r>
                    <w:rPr>
                      <w:rFonts w:ascii="Arial"/>
                      <w:b w:val="false"/>
                      <w:i w:val="false"/>
                      <w:color w:val="000000"/>
                      <w:sz w:val="15"/>
                    </w:rPr>
                    <w:t>постановою Кабінету Міністрів України від 25 липня 2007 року N 963</w:t>
                  </w:r>
                  <w:r>
                    <w:rPr>
                      <w:rFonts w:ascii="Arial"/>
                      <w:b w:val="false"/>
                      <w:i w:val="false"/>
                      <w:color w:val="000000"/>
                      <w:sz w:val="15"/>
                    </w:rPr>
                    <w:t>;</w:t>
                  </w:r>
                </w:p>
                <w:bookmarkEnd w:id="57"/>
              </w:tc>
            </w:tr>
            <w:tr>
              <w:trPr>
                <w:trHeight w:val="120" w:hRule="atLeast"/>
              </w:trPr>
              <w:tc>
                <w:tcPr>
                  <w:tcW w:w="0" w:type="auto"/>
                  <w:vMerge/>
                  <w:tcBorders>
                    <w:top w:val="nil"/>
                  </w:tcBorders>
                </w:tcPr>
                <w:p/>
              </w:tc>
              <w:tc>
                <w:tcPr>
                  <w:tcW w:w="579" w:type="dxa"/>
                  <w:tcBorders/>
                  <w:vAlign w:val="center"/>
                </w:tcPr>
                <w:bookmarkStart w:name="60" w:id="58"/>
                <w:p>
                  <w:pPr>
                    <w:spacing w:after="0"/>
                    <w:ind w:left="0"/>
                    <w:jc w:val="left"/>
                  </w:pPr>
                  <w:r>
                    <w:rPr>
                      <w:rFonts w:ascii="Arial"/>
                      <w:b/>
                      <w:i w:val="false"/>
                      <w:color w:val="000000"/>
                      <w:sz w:val="15"/>
                    </w:rPr>
                    <w:t>Вр</w:t>
                  </w:r>
                </w:p>
                <w:bookmarkEnd w:id="58"/>
              </w:tc>
              <w:tc>
                <w:tcPr>
                  <w:tcW w:w="8781" w:type="dxa"/>
                  <w:tcBorders/>
                  <w:vAlign w:val="center"/>
                </w:tcPr>
                <w:bookmarkStart w:name="61" w:id="59"/>
                <w:p>
                  <w:pPr>
                    <w:spacing w:after="0"/>
                    <w:ind w:left="0"/>
                    <w:jc w:val="left"/>
                  </w:pPr>
                  <w:r>
                    <w:rPr>
                      <w:rFonts w:ascii="Arial"/>
                      <w:b w:val="false"/>
                      <w:i w:val="false"/>
                      <w:color w:val="000000"/>
                      <w:sz w:val="15"/>
                    </w:rPr>
                    <w:t>- вартість рекультивації земель, забруднених внаслідок надзвичайних ситуацій та/або збройної агресії та бойових дій під час дії воєнного стану, що розраховується за наступною формулою:</w:t>
                  </w:r>
                </w:p>
                <w:bookmarkEnd w:id="59"/>
              </w:tc>
            </w:tr>
          </w:tbl>
          <w:p>
            <w:pPr>
              <w:spacing/>
              <w:ind w:left="0"/>
              <w:jc w:val="left"/>
            </w:pPr>
            <w:r>
              <w:br/>
            </w:r>
          </w:p>
        </w:tc>
      </w:tr>
    </w:tbl>
    <w:p>
      <w:pPr>
        <w:spacing/>
        <w:ind w:left="0"/>
        <w:jc w:val="left"/>
      </w:pPr>
      <w:r>
        <w:br/>
      </w:r>
    </w:p>
    <w:bookmarkStart w:name="62" w:id="60"/>
    <w:p>
      <w:pPr>
        <w:spacing w:after="0"/>
        <w:ind w:left="0"/>
        <w:jc w:val="center"/>
      </w:pPr>
      <w:r>
        <w:rPr>
          <w:rFonts w:ascii="Arial"/>
          <w:b/>
          <w:i w:val="false"/>
          <w:color w:val="000000"/>
          <w:sz w:val="18"/>
        </w:rPr>
        <w:t>Вр = К(с)</w:t>
      </w:r>
      <w:r>
        <w:rPr>
          <w:rFonts w:ascii="Arial"/>
          <w:b w:val="false"/>
          <w:i w:val="false"/>
          <w:color w:val="000000"/>
          <w:sz w:val="18"/>
        </w:rPr>
        <w:t xml:space="preserve"> × </w:t>
      </w:r>
      <w:r>
        <w:rPr>
          <w:rFonts w:ascii="Arial"/>
          <w:b/>
          <w:i w:val="false"/>
          <w:color w:val="000000"/>
          <w:sz w:val="18"/>
        </w:rPr>
        <w:t>К(к)</w:t>
      </w:r>
      <w:r>
        <w:rPr>
          <w:rFonts w:ascii="Arial"/>
          <w:b w:val="false"/>
          <w:i w:val="false"/>
          <w:color w:val="000000"/>
          <w:sz w:val="18"/>
        </w:rPr>
        <w:t xml:space="preserve"> × </w:t>
      </w:r>
      <w:r>
        <w:rPr>
          <w:rFonts w:ascii="Arial"/>
          <w:b/>
          <w:i w:val="false"/>
          <w:color w:val="000000"/>
          <w:sz w:val="18"/>
        </w:rPr>
        <w:t>К(з)</w:t>
      </w:r>
    </w:p>
    <w:bookmarkEnd w:id="60"/>
    <w:bookmarkStart w:name="63" w:id="61"/>
    <w:p>
      <w:pPr>
        <w:spacing w:after="0"/>
        <w:ind w:firstLine="240"/>
        <w:jc w:val="left"/>
      </w:pPr>
      <w:r>
        <w:rPr>
          <w:rFonts w:ascii="Arial"/>
          <w:b/>
          <w:i w:val="false"/>
          <w:color w:val="000000"/>
          <w:sz w:val="18"/>
        </w:rPr>
        <w:t>Вр</w:t>
      </w:r>
      <w:r>
        <w:rPr>
          <w:rFonts w:ascii="Arial"/>
          <w:b w:val="false"/>
          <w:i w:val="false"/>
          <w:color w:val="000000"/>
          <w:sz w:val="18"/>
        </w:rPr>
        <w:t xml:space="preserve"> - вартість рекультивації;</w:t>
      </w:r>
    </w:p>
    <w:bookmarkEnd w:id="61"/>
    <w:bookmarkStart w:name="64" w:id="62"/>
    <w:p>
      <w:pPr>
        <w:spacing w:after="0"/>
        <w:ind w:firstLine="240"/>
        <w:jc w:val="left"/>
      </w:pPr>
      <w:r>
        <w:rPr>
          <w:rFonts w:ascii="Arial"/>
          <w:b/>
          <w:i w:val="false"/>
          <w:color w:val="000000"/>
          <w:sz w:val="18"/>
        </w:rPr>
        <w:t>П1</w:t>
      </w:r>
      <w:r>
        <w:rPr>
          <w:rFonts w:ascii="Arial"/>
          <w:b w:val="false"/>
          <w:i w:val="false"/>
          <w:color w:val="000000"/>
          <w:sz w:val="18"/>
        </w:rPr>
        <w:t xml:space="preserve"> - базова вартість;</w:t>
      </w:r>
    </w:p>
    <w:bookmarkEnd w:id="62"/>
    <w:bookmarkStart w:name="65" w:id="63"/>
    <w:p>
      <w:pPr>
        <w:spacing w:after="0"/>
        <w:ind w:firstLine="240"/>
        <w:jc w:val="left"/>
      </w:pPr>
      <w:r>
        <w:rPr>
          <w:rFonts w:ascii="Arial"/>
          <w:b/>
          <w:i w:val="false"/>
          <w:color w:val="000000"/>
          <w:sz w:val="18"/>
        </w:rPr>
        <w:t>П2</w:t>
      </w:r>
      <w:r>
        <w:rPr>
          <w:rFonts w:ascii="Arial"/>
          <w:b w:val="false"/>
          <w:i w:val="false"/>
          <w:color w:val="000000"/>
          <w:sz w:val="18"/>
        </w:rPr>
        <w:t xml:space="preserve"> - вартість за площею;</w:t>
      </w:r>
    </w:p>
    <w:bookmarkEnd w:id="63"/>
    <w:bookmarkStart w:name="66" w:id="64"/>
    <w:p>
      <w:pPr>
        <w:spacing w:after="0"/>
        <w:ind w:firstLine="240"/>
        <w:jc w:val="left"/>
      </w:pPr>
      <w:r>
        <w:rPr>
          <w:rFonts w:ascii="Arial"/>
          <w:b/>
          <w:i w:val="false"/>
          <w:color w:val="000000"/>
          <w:sz w:val="18"/>
        </w:rPr>
        <w:t>К(с)</w:t>
      </w:r>
      <w:r>
        <w:rPr>
          <w:rFonts w:ascii="Arial"/>
          <w:b w:val="false"/>
          <w:i w:val="false"/>
          <w:color w:val="000000"/>
          <w:sz w:val="18"/>
        </w:rPr>
        <w:t xml:space="preserve"> - коефіцієнт складності;</w:t>
      </w:r>
    </w:p>
    <w:bookmarkEnd w:id="64"/>
    <w:bookmarkStart w:name="67" w:id="65"/>
    <w:p>
      <w:pPr>
        <w:spacing w:after="0"/>
        <w:ind w:firstLine="240"/>
        <w:jc w:val="left"/>
      </w:pPr>
      <w:r>
        <w:rPr>
          <w:rFonts w:ascii="Arial"/>
          <w:b/>
          <w:i w:val="false"/>
          <w:color w:val="000000"/>
          <w:sz w:val="18"/>
        </w:rPr>
        <w:t>К(к)</w:t>
      </w:r>
      <w:r>
        <w:rPr>
          <w:rFonts w:ascii="Arial"/>
          <w:b w:val="false"/>
          <w:i w:val="false"/>
          <w:color w:val="000000"/>
          <w:sz w:val="18"/>
        </w:rPr>
        <w:t xml:space="preserve"> - коефіцієнт кількості забруднених/засмічених ділянок в одній територіальній громаді;</w:t>
      </w:r>
    </w:p>
    <w:bookmarkEnd w:id="65"/>
    <w:bookmarkStart w:name="68" w:id="66"/>
    <w:p>
      <w:pPr>
        <w:spacing w:after="0"/>
        <w:ind w:firstLine="240"/>
        <w:jc w:val="left"/>
      </w:pPr>
      <w:r>
        <w:rPr>
          <w:rFonts w:ascii="Arial"/>
          <w:b/>
          <w:i w:val="false"/>
          <w:color w:val="000000"/>
          <w:sz w:val="18"/>
        </w:rPr>
        <w:t>S</w:t>
      </w:r>
      <w:r>
        <w:rPr>
          <w:rFonts w:ascii="Arial"/>
          <w:b w:val="false"/>
          <w:i w:val="false"/>
          <w:color w:val="000000"/>
          <w:sz w:val="18"/>
        </w:rPr>
        <w:t xml:space="preserve"> - площа земельних ділянок, ґрунти яких забруднені;</w:t>
      </w:r>
    </w:p>
    <w:bookmarkEnd w:id="66"/>
    <w:bookmarkStart w:name="69" w:id="67"/>
    <w:p>
      <w:pPr>
        <w:spacing w:after="0"/>
        <w:ind w:firstLine="240"/>
        <w:jc w:val="left"/>
      </w:pPr>
      <w:r>
        <w:rPr>
          <w:rFonts w:ascii="Arial"/>
          <w:b/>
          <w:i w:val="false"/>
          <w:color w:val="000000"/>
          <w:sz w:val="18"/>
        </w:rPr>
        <w:t>К(з)</w:t>
      </w:r>
      <w:r>
        <w:rPr>
          <w:rFonts w:ascii="Arial"/>
          <w:b w:val="false"/>
          <w:i w:val="false"/>
          <w:color w:val="000000"/>
          <w:sz w:val="18"/>
        </w:rPr>
        <w:t xml:space="preserve"> - коефіцієнт робіт із землювання;</w:t>
      </w:r>
    </w:p>
    <w:bookmarkEnd w:id="67"/>
    <w:bookmarkStart w:name="70" w:id="68"/>
    <w:p>
      <w:pPr>
        <w:spacing w:after="0"/>
        <w:ind w:firstLine="240"/>
        <w:jc w:val="left"/>
      </w:pPr>
      <w:r>
        <w:rPr>
          <w:rFonts w:ascii="Arial"/>
          <w:b/>
          <w:i w:val="false"/>
          <w:color w:val="000000"/>
          <w:sz w:val="18"/>
        </w:rPr>
        <w:t>К(з)</w:t>
      </w:r>
      <w:r>
        <w:rPr>
          <w:rFonts w:ascii="Arial"/>
          <w:b w:val="false"/>
          <w:i w:val="false"/>
          <w:color w:val="000000"/>
          <w:sz w:val="18"/>
        </w:rPr>
        <w:t xml:space="preserve"> - коефіцієнт робіт із землювання, який дорівнює </w:t>
      </w:r>
      <w:r>
        <w:rPr>
          <w:rFonts w:ascii="Arial"/>
          <w:b/>
          <w:i w:val="false"/>
          <w:color w:val="000000"/>
          <w:sz w:val="18"/>
        </w:rPr>
        <w:t>(П1 + П2)</w:t>
      </w:r>
      <w:r>
        <w:rPr>
          <w:rFonts w:ascii="Arial"/>
          <w:b w:val="false"/>
          <w:i w:val="false"/>
          <w:color w:val="000000"/>
          <w:sz w:val="18"/>
        </w:rPr>
        <w:t xml:space="preserve"> × </w:t>
      </w:r>
      <w:r>
        <w:rPr>
          <w:rFonts w:ascii="Arial"/>
          <w:b/>
          <w:i w:val="false"/>
          <w:color w:val="000000"/>
          <w:sz w:val="18"/>
        </w:rPr>
        <w:t>S</w:t>
      </w:r>
      <w:r>
        <w:rPr>
          <w:rFonts w:ascii="Arial"/>
          <w:b w:val="false"/>
          <w:i w:val="false"/>
          <w:color w:val="000000"/>
          <w:sz w:val="18"/>
        </w:rPr>
        <w:t>.</w:t>
      </w:r>
    </w:p>
    <w:bookmarkEnd w:id="6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163"/>
        <w:gridCol w:w="3780"/>
        <w:gridCol w:w="2228"/>
        <w:gridCol w:w="2519"/>
      </w:tblGrid>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71" w:id="69"/>
          <w:p>
            <w:pPr>
              <w:spacing w:after="0"/>
              <w:ind w:left="0"/>
              <w:jc w:val="center"/>
            </w:pPr>
            <w:r>
              <w:rPr>
                <w:rFonts w:ascii="Arial"/>
                <w:b/>
                <w:i w:val="false"/>
                <w:color w:val="000000"/>
                <w:sz w:val="15"/>
              </w:rPr>
              <w:t>N з/п</w:t>
            </w:r>
          </w:p>
          <w:bookmarkEnd w:id="69"/>
        </w:tc>
        <w:tc>
          <w:tcPr>
            <w:tcW w:w="3780" w:type="dxa"/>
            <w:tcBorders>
              <w:top w:val="outset" w:color="000000" w:sz="8"/>
              <w:left w:val="outset" w:color="000000" w:sz="8"/>
              <w:bottom w:val="outset" w:color="000000" w:sz="8"/>
              <w:right w:val="outset" w:color="000000" w:sz="8"/>
            </w:tcBorders>
            <w:vAlign w:val="center"/>
          </w:tcPr>
          <w:bookmarkStart w:name="72" w:id="70"/>
          <w:p>
            <w:pPr>
              <w:spacing w:after="0"/>
              <w:ind w:left="0"/>
              <w:jc w:val="center"/>
            </w:pPr>
            <w:r>
              <w:rPr>
                <w:rFonts w:ascii="Arial"/>
                <w:b/>
                <w:i w:val="false"/>
                <w:color w:val="000000"/>
                <w:sz w:val="15"/>
              </w:rPr>
              <w:t>S - Площа, га</w:t>
            </w:r>
          </w:p>
          <w:bookmarkEnd w:id="70"/>
        </w:tc>
        <w:tc>
          <w:tcPr>
            <w:tcW w:w="2228" w:type="dxa"/>
            <w:tcBorders>
              <w:top w:val="outset" w:color="000000" w:sz="8"/>
              <w:left w:val="outset" w:color="000000" w:sz="8"/>
              <w:bottom w:val="outset" w:color="000000" w:sz="8"/>
              <w:right w:val="outset" w:color="000000" w:sz="8"/>
            </w:tcBorders>
            <w:vAlign w:val="center"/>
          </w:tcPr>
          <w:bookmarkStart w:name="73" w:id="71"/>
          <w:p>
            <w:pPr>
              <w:spacing w:after="0"/>
              <w:ind w:left="0"/>
              <w:jc w:val="center"/>
            </w:pPr>
            <w:r>
              <w:rPr>
                <w:rFonts w:ascii="Arial"/>
                <w:b/>
                <w:i w:val="false"/>
                <w:color w:val="000000"/>
                <w:sz w:val="15"/>
              </w:rPr>
              <w:t>П1 - базова вартість, грн</w:t>
            </w:r>
          </w:p>
          <w:bookmarkEnd w:id="71"/>
        </w:tc>
        <w:tc>
          <w:tcPr>
            <w:tcW w:w="2519" w:type="dxa"/>
            <w:tcBorders>
              <w:top w:val="outset" w:color="000000" w:sz="8"/>
              <w:left w:val="outset" w:color="000000" w:sz="8"/>
              <w:bottom w:val="outset" w:color="000000" w:sz="8"/>
              <w:right w:val="outset" w:color="000000" w:sz="8"/>
            </w:tcBorders>
            <w:vAlign w:val="center"/>
          </w:tcPr>
          <w:bookmarkStart w:name="74" w:id="72"/>
          <w:p>
            <w:pPr>
              <w:spacing w:after="0"/>
              <w:ind w:left="0"/>
              <w:jc w:val="center"/>
            </w:pPr>
            <w:r>
              <w:rPr>
                <w:rFonts w:ascii="Arial"/>
                <w:b/>
                <w:i w:val="false"/>
                <w:color w:val="000000"/>
                <w:sz w:val="15"/>
              </w:rPr>
              <w:t>П2 - вартість за площею, грн/га</w:t>
            </w:r>
          </w:p>
          <w:bookmarkEnd w:id="72"/>
        </w:tc>
      </w:tr>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75" w:id="73"/>
          <w:p>
            <w:pPr>
              <w:spacing w:after="0"/>
              <w:ind w:left="0"/>
              <w:jc w:val="center"/>
            </w:pPr>
            <w:r>
              <w:rPr>
                <w:rFonts w:ascii="Arial"/>
                <w:b w:val="false"/>
                <w:i w:val="false"/>
                <w:color w:val="000000"/>
                <w:sz w:val="15"/>
              </w:rPr>
              <w:t>1</w:t>
            </w:r>
          </w:p>
          <w:bookmarkEnd w:id="73"/>
        </w:tc>
        <w:tc>
          <w:tcPr>
            <w:tcW w:w="3780" w:type="dxa"/>
            <w:tcBorders>
              <w:top w:val="outset" w:color="000000" w:sz="8"/>
              <w:left w:val="outset" w:color="000000" w:sz="8"/>
              <w:bottom w:val="outset" w:color="000000" w:sz="8"/>
              <w:right w:val="outset" w:color="000000" w:sz="8"/>
            </w:tcBorders>
            <w:vAlign w:val="center"/>
          </w:tcPr>
          <w:bookmarkStart w:name="76" w:id="74"/>
          <w:p>
            <w:pPr>
              <w:spacing w:after="0"/>
              <w:ind w:left="0"/>
              <w:jc w:val="center"/>
            </w:pPr>
            <w:r>
              <w:rPr>
                <w:rFonts w:ascii="Arial"/>
                <w:b w:val="false"/>
                <w:i w:val="false"/>
                <w:color w:val="000000"/>
                <w:sz w:val="15"/>
              </w:rPr>
              <w:t>до 5</w:t>
            </w:r>
          </w:p>
          <w:bookmarkEnd w:id="74"/>
        </w:tc>
        <w:tc>
          <w:tcPr>
            <w:tcW w:w="2228" w:type="dxa"/>
            <w:tcBorders>
              <w:top w:val="outset" w:color="000000" w:sz="8"/>
              <w:left w:val="outset" w:color="000000" w:sz="8"/>
              <w:bottom w:val="outset" w:color="000000" w:sz="8"/>
              <w:right w:val="outset" w:color="000000" w:sz="8"/>
            </w:tcBorders>
            <w:vAlign w:val="center"/>
          </w:tcPr>
          <w:bookmarkStart w:name="77" w:id="75"/>
          <w:p>
            <w:pPr>
              <w:spacing w:after="0"/>
              <w:ind w:left="0"/>
              <w:jc w:val="center"/>
            </w:pPr>
            <w:r>
              <w:rPr>
                <w:rFonts w:ascii="Arial"/>
                <w:b w:val="false"/>
                <w:i w:val="false"/>
                <w:color w:val="000000"/>
                <w:sz w:val="15"/>
              </w:rPr>
              <w:t>25000</w:t>
            </w:r>
          </w:p>
          <w:bookmarkEnd w:id="75"/>
        </w:tc>
        <w:tc>
          <w:tcPr>
            <w:tcW w:w="2519" w:type="dxa"/>
            <w:tcBorders>
              <w:top w:val="outset" w:color="000000" w:sz="8"/>
              <w:left w:val="outset" w:color="000000" w:sz="8"/>
              <w:bottom w:val="outset" w:color="000000" w:sz="8"/>
              <w:right w:val="outset" w:color="000000" w:sz="8"/>
            </w:tcBorders>
            <w:vAlign w:val="center"/>
          </w:tcPr>
          <w:bookmarkStart w:name="78" w:id="76"/>
          <w:p>
            <w:pPr>
              <w:spacing w:after="0"/>
              <w:ind w:left="0"/>
              <w:jc w:val="center"/>
            </w:pPr>
            <w:r>
              <w:rPr>
                <w:rFonts w:ascii="Arial"/>
                <w:b w:val="false"/>
                <w:i w:val="false"/>
                <w:color w:val="000000"/>
                <w:sz w:val="15"/>
              </w:rPr>
              <w:t>4000</w:t>
            </w:r>
          </w:p>
          <w:bookmarkEnd w:id="76"/>
        </w:tc>
      </w:tr>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79" w:id="77"/>
          <w:p>
            <w:pPr>
              <w:spacing w:after="0"/>
              <w:ind w:left="0"/>
              <w:jc w:val="center"/>
            </w:pPr>
            <w:r>
              <w:rPr>
                <w:rFonts w:ascii="Arial"/>
                <w:b w:val="false"/>
                <w:i w:val="false"/>
                <w:color w:val="000000"/>
                <w:sz w:val="15"/>
              </w:rPr>
              <w:t>2</w:t>
            </w:r>
          </w:p>
          <w:bookmarkEnd w:id="77"/>
        </w:tc>
        <w:tc>
          <w:tcPr>
            <w:tcW w:w="3780" w:type="dxa"/>
            <w:tcBorders>
              <w:top w:val="outset" w:color="000000" w:sz="8"/>
              <w:left w:val="outset" w:color="000000" w:sz="8"/>
              <w:bottom w:val="outset" w:color="000000" w:sz="8"/>
              <w:right w:val="outset" w:color="000000" w:sz="8"/>
            </w:tcBorders>
            <w:vAlign w:val="center"/>
          </w:tcPr>
          <w:bookmarkStart w:name="80" w:id="78"/>
          <w:p>
            <w:pPr>
              <w:spacing w:after="0"/>
              <w:ind w:left="0"/>
              <w:jc w:val="center"/>
            </w:pPr>
            <w:r>
              <w:rPr>
                <w:rFonts w:ascii="Arial"/>
                <w:b w:val="false"/>
                <w:i w:val="false"/>
                <w:color w:val="000000"/>
                <w:sz w:val="15"/>
              </w:rPr>
              <w:t>Від 5 до 10</w:t>
            </w:r>
          </w:p>
          <w:bookmarkEnd w:id="78"/>
        </w:tc>
        <w:tc>
          <w:tcPr>
            <w:tcW w:w="2228" w:type="dxa"/>
            <w:tcBorders>
              <w:top w:val="outset" w:color="000000" w:sz="8"/>
              <w:left w:val="outset" w:color="000000" w:sz="8"/>
              <w:bottom w:val="outset" w:color="000000" w:sz="8"/>
              <w:right w:val="outset" w:color="000000" w:sz="8"/>
            </w:tcBorders>
            <w:vAlign w:val="center"/>
          </w:tcPr>
          <w:bookmarkStart w:name="81" w:id="79"/>
          <w:p>
            <w:pPr>
              <w:spacing w:after="0"/>
              <w:ind w:left="0"/>
              <w:jc w:val="center"/>
            </w:pPr>
            <w:r>
              <w:rPr>
                <w:rFonts w:ascii="Arial"/>
                <w:b w:val="false"/>
                <w:i w:val="false"/>
                <w:color w:val="000000"/>
                <w:sz w:val="15"/>
              </w:rPr>
              <w:t>30000</w:t>
            </w:r>
          </w:p>
          <w:bookmarkEnd w:id="79"/>
        </w:tc>
        <w:tc>
          <w:tcPr>
            <w:tcW w:w="2519" w:type="dxa"/>
            <w:tcBorders>
              <w:top w:val="outset" w:color="000000" w:sz="8"/>
              <w:left w:val="outset" w:color="000000" w:sz="8"/>
              <w:bottom w:val="outset" w:color="000000" w:sz="8"/>
              <w:right w:val="outset" w:color="000000" w:sz="8"/>
            </w:tcBorders>
            <w:vAlign w:val="center"/>
          </w:tcPr>
          <w:bookmarkStart w:name="82" w:id="80"/>
          <w:p>
            <w:pPr>
              <w:spacing w:after="0"/>
              <w:ind w:left="0"/>
              <w:jc w:val="center"/>
            </w:pPr>
            <w:r>
              <w:rPr>
                <w:rFonts w:ascii="Arial"/>
                <w:b w:val="false"/>
                <w:i w:val="false"/>
                <w:color w:val="000000"/>
                <w:sz w:val="15"/>
              </w:rPr>
              <w:t>4000</w:t>
            </w:r>
          </w:p>
          <w:bookmarkEnd w:id="80"/>
        </w:tc>
      </w:tr>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83" w:id="81"/>
          <w:p>
            <w:pPr>
              <w:spacing w:after="0"/>
              <w:ind w:left="0"/>
              <w:jc w:val="center"/>
            </w:pPr>
            <w:r>
              <w:rPr>
                <w:rFonts w:ascii="Arial"/>
                <w:b w:val="false"/>
                <w:i w:val="false"/>
                <w:color w:val="000000"/>
                <w:sz w:val="15"/>
              </w:rPr>
              <w:t>3</w:t>
            </w:r>
          </w:p>
          <w:bookmarkEnd w:id="81"/>
        </w:tc>
        <w:tc>
          <w:tcPr>
            <w:tcW w:w="3780" w:type="dxa"/>
            <w:tcBorders>
              <w:top w:val="outset" w:color="000000" w:sz="8"/>
              <w:left w:val="outset" w:color="000000" w:sz="8"/>
              <w:bottom w:val="outset" w:color="000000" w:sz="8"/>
              <w:right w:val="outset" w:color="000000" w:sz="8"/>
            </w:tcBorders>
            <w:vAlign w:val="center"/>
          </w:tcPr>
          <w:bookmarkStart w:name="84" w:id="82"/>
          <w:p>
            <w:pPr>
              <w:spacing w:after="0"/>
              <w:ind w:left="0"/>
              <w:jc w:val="center"/>
            </w:pPr>
            <w:r>
              <w:rPr>
                <w:rFonts w:ascii="Arial"/>
                <w:b w:val="false"/>
                <w:i w:val="false"/>
                <w:color w:val="000000"/>
                <w:sz w:val="15"/>
              </w:rPr>
              <w:t>Від 10 до 20</w:t>
            </w:r>
          </w:p>
          <w:bookmarkEnd w:id="82"/>
        </w:tc>
        <w:tc>
          <w:tcPr>
            <w:tcW w:w="2228" w:type="dxa"/>
            <w:tcBorders>
              <w:top w:val="outset" w:color="000000" w:sz="8"/>
              <w:left w:val="outset" w:color="000000" w:sz="8"/>
              <w:bottom w:val="outset" w:color="000000" w:sz="8"/>
              <w:right w:val="outset" w:color="000000" w:sz="8"/>
            </w:tcBorders>
            <w:vAlign w:val="center"/>
          </w:tcPr>
          <w:bookmarkStart w:name="85" w:id="83"/>
          <w:p>
            <w:pPr>
              <w:spacing w:after="0"/>
              <w:ind w:left="0"/>
              <w:jc w:val="center"/>
            </w:pPr>
            <w:r>
              <w:rPr>
                <w:rFonts w:ascii="Arial"/>
                <w:b w:val="false"/>
                <w:i w:val="false"/>
                <w:color w:val="000000"/>
                <w:sz w:val="15"/>
              </w:rPr>
              <w:t>35000</w:t>
            </w:r>
          </w:p>
          <w:bookmarkEnd w:id="83"/>
        </w:tc>
        <w:tc>
          <w:tcPr>
            <w:tcW w:w="2519" w:type="dxa"/>
            <w:tcBorders>
              <w:top w:val="outset" w:color="000000" w:sz="8"/>
              <w:left w:val="outset" w:color="000000" w:sz="8"/>
              <w:bottom w:val="outset" w:color="000000" w:sz="8"/>
              <w:right w:val="outset" w:color="000000" w:sz="8"/>
            </w:tcBorders>
            <w:vAlign w:val="center"/>
          </w:tcPr>
          <w:bookmarkStart w:name="86" w:id="84"/>
          <w:p>
            <w:pPr>
              <w:spacing w:after="0"/>
              <w:ind w:left="0"/>
              <w:jc w:val="center"/>
            </w:pPr>
            <w:r>
              <w:rPr>
                <w:rFonts w:ascii="Arial"/>
                <w:b w:val="false"/>
                <w:i w:val="false"/>
                <w:color w:val="000000"/>
                <w:sz w:val="15"/>
              </w:rPr>
              <w:t>4000</w:t>
            </w:r>
          </w:p>
          <w:bookmarkEnd w:id="84"/>
        </w:tc>
      </w:tr>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87" w:id="85"/>
          <w:p>
            <w:pPr>
              <w:spacing w:after="0"/>
              <w:ind w:left="0"/>
              <w:jc w:val="center"/>
            </w:pPr>
            <w:r>
              <w:rPr>
                <w:rFonts w:ascii="Arial"/>
                <w:b w:val="false"/>
                <w:i w:val="false"/>
                <w:color w:val="000000"/>
                <w:sz w:val="15"/>
              </w:rPr>
              <w:t>4</w:t>
            </w:r>
          </w:p>
          <w:bookmarkEnd w:id="85"/>
        </w:tc>
        <w:tc>
          <w:tcPr>
            <w:tcW w:w="3780" w:type="dxa"/>
            <w:tcBorders>
              <w:top w:val="outset" w:color="000000" w:sz="8"/>
              <w:left w:val="outset" w:color="000000" w:sz="8"/>
              <w:bottom w:val="outset" w:color="000000" w:sz="8"/>
              <w:right w:val="outset" w:color="000000" w:sz="8"/>
            </w:tcBorders>
            <w:vAlign w:val="center"/>
          </w:tcPr>
          <w:bookmarkStart w:name="88" w:id="86"/>
          <w:p>
            <w:pPr>
              <w:spacing w:after="0"/>
              <w:ind w:left="0"/>
              <w:jc w:val="center"/>
            </w:pPr>
            <w:r>
              <w:rPr>
                <w:rFonts w:ascii="Arial"/>
                <w:b w:val="false"/>
                <w:i w:val="false"/>
                <w:color w:val="000000"/>
                <w:sz w:val="15"/>
              </w:rPr>
              <w:t>Від 20 до 50</w:t>
            </w:r>
          </w:p>
          <w:bookmarkEnd w:id="86"/>
        </w:tc>
        <w:tc>
          <w:tcPr>
            <w:tcW w:w="2228" w:type="dxa"/>
            <w:tcBorders>
              <w:top w:val="outset" w:color="000000" w:sz="8"/>
              <w:left w:val="outset" w:color="000000" w:sz="8"/>
              <w:bottom w:val="outset" w:color="000000" w:sz="8"/>
              <w:right w:val="outset" w:color="000000" w:sz="8"/>
            </w:tcBorders>
            <w:vAlign w:val="center"/>
          </w:tcPr>
          <w:bookmarkStart w:name="89" w:id="87"/>
          <w:p>
            <w:pPr>
              <w:spacing w:after="0"/>
              <w:ind w:left="0"/>
              <w:jc w:val="center"/>
            </w:pPr>
            <w:r>
              <w:rPr>
                <w:rFonts w:ascii="Arial"/>
                <w:b w:val="false"/>
                <w:i w:val="false"/>
                <w:color w:val="000000"/>
                <w:sz w:val="15"/>
              </w:rPr>
              <w:t>40000</w:t>
            </w:r>
          </w:p>
          <w:bookmarkEnd w:id="87"/>
        </w:tc>
        <w:tc>
          <w:tcPr>
            <w:tcW w:w="2519" w:type="dxa"/>
            <w:tcBorders>
              <w:top w:val="outset" w:color="000000" w:sz="8"/>
              <w:left w:val="outset" w:color="000000" w:sz="8"/>
              <w:bottom w:val="outset" w:color="000000" w:sz="8"/>
              <w:right w:val="outset" w:color="000000" w:sz="8"/>
            </w:tcBorders>
            <w:vAlign w:val="center"/>
          </w:tcPr>
          <w:bookmarkStart w:name="90" w:id="88"/>
          <w:p>
            <w:pPr>
              <w:spacing w:after="0"/>
              <w:ind w:left="0"/>
              <w:jc w:val="center"/>
            </w:pPr>
            <w:r>
              <w:rPr>
                <w:rFonts w:ascii="Arial"/>
                <w:b w:val="false"/>
                <w:i w:val="false"/>
                <w:color w:val="000000"/>
                <w:sz w:val="15"/>
              </w:rPr>
              <w:t>4000</w:t>
            </w:r>
          </w:p>
          <w:bookmarkEnd w:id="88"/>
        </w:tc>
      </w:tr>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91" w:id="89"/>
          <w:p>
            <w:pPr>
              <w:spacing w:after="0"/>
              <w:ind w:left="0"/>
              <w:jc w:val="center"/>
            </w:pPr>
            <w:r>
              <w:rPr>
                <w:rFonts w:ascii="Arial"/>
                <w:b w:val="false"/>
                <w:i w:val="false"/>
                <w:color w:val="000000"/>
                <w:sz w:val="15"/>
              </w:rPr>
              <w:t>5</w:t>
            </w:r>
          </w:p>
          <w:bookmarkEnd w:id="89"/>
        </w:tc>
        <w:tc>
          <w:tcPr>
            <w:tcW w:w="3780" w:type="dxa"/>
            <w:tcBorders>
              <w:top w:val="outset" w:color="000000" w:sz="8"/>
              <w:left w:val="outset" w:color="000000" w:sz="8"/>
              <w:bottom w:val="outset" w:color="000000" w:sz="8"/>
              <w:right w:val="outset" w:color="000000" w:sz="8"/>
            </w:tcBorders>
            <w:vAlign w:val="center"/>
          </w:tcPr>
          <w:bookmarkStart w:name="92" w:id="90"/>
          <w:p>
            <w:pPr>
              <w:spacing w:after="0"/>
              <w:ind w:left="0"/>
              <w:jc w:val="center"/>
            </w:pPr>
            <w:r>
              <w:rPr>
                <w:rFonts w:ascii="Arial"/>
                <w:b w:val="false"/>
                <w:i w:val="false"/>
                <w:color w:val="000000"/>
                <w:sz w:val="15"/>
              </w:rPr>
              <w:t>Від 50 до 100</w:t>
            </w:r>
          </w:p>
          <w:bookmarkEnd w:id="90"/>
        </w:tc>
        <w:tc>
          <w:tcPr>
            <w:tcW w:w="2228" w:type="dxa"/>
            <w:tcBorders>
              <w:top w:val="outset" w:color="000000" w:sz="8"/>
              <w:left w:val="outset" w:color="000000" w:sz="8"/>
              <w:bottom w:val="outset" w:color="000000" w:sz="8"/>
              <w:right w:val="outset" w:color="000000" w:sz="8"/>
            </w:tcBorders>
            <w:vAlign w:val="center"/>
          </w:tcPr>
          <w:bookmarkStart w:name="93" w:id="91"/>
          <w:p>
            <w:pPr>
              <w:spacing w:after="0"/>
              <w:ind w:left="0"/>
              <w:jc w:val="center"/>
            </w:pPr>
            <w:r>
              <w:rPr>
                <w:rFonts w:ascii="Arial"/>
                <w:b w:val="false"/>
                <w:i w:val="false"/>
                <w:color w:val="000000"/>
                <w:sz w:val="15"/>
              </w:rPr>
              <w:t>45000</w:t>
            </w:r>
          </w:p>
          <w:bookmarkEnd w:id="91"/>
        </w:tc>
        <w:tc>
          <w:tcPr>
            <w:tcW w:w="2519" w:type="dxa"/>
            <w:tcBorders>
              <w:top w:val="outset" w:color="000000" w:sz="8"/>
              <w:left w:val="outset" w:color="000000" w:sz="8"/>
              <w:bottom w:val="outset" w:color="000000" w:sz="8"/>
              <w:right w:val="outset" w:color="000000" w:sz="8"/>
            </w:tcBorders>
            <w:vAlign w:val="center"/>
          </w:tcPr>
          <w:bookmarkStart w:name="94" w:id="92"/>
          <w:p>
            <w:pPr>
              <w:spacing w:after="0"/>
              <w:ind w:left="0"/>
              <w:jc w:val="center"/>
            </w:pPr>
            <w:r>
              <w:rPr>
                <w:rFonts w:ascii="Arial"/>
                <w:b w:val="false"/>
                <w:i w:val="false"/>
                <w:color w:val="000000"/>
                <w:sz w:val="15"/>
              </w:rPr>
              <w:t>4000</w:t>
            </w:r>
          </w:p>
          <w:bookmarkEnd w:id="92"/>
        </w:tc>
      </w:tr>
      <w:tr>
        <w:trPr>
          <w:trHeight w:val="45" w:hRule="atLeast"/>
        </w:trPr>
        <w:tc>
          <w:tcPr>
            <w:tcW w:w="1163" w:type="dxa"/>
            <w:tcBorders>
              <w:top w:val="outset" w:color="000000" w:sz="8"/>
              <w:left w:val="outset" w:color="000000" w:sz="8"/>
              <w:bottom w:val="outset" w:color="000000" w:sz="8"/>
              <w:right w:val="outset" w:color="000000" w:sz="8"/>
            </w:tcBorders>
            <w:vAlign w:val="center"/>
          </w:tcPr>
          <w:bookmarkStart w:name="95" w:id="93"/>
          <w:p>
            <w:pPr>
              <w:spacing w:after="0"/>
              <w:ind w:left="0"/>
              <w:jc w:val="center"/>
            </w:pPr>
            <w:r>
              <w:rPr>
                <w:rFonts w:ascii="Arial"/>
                <w:b w:val="false"/>
                <w:i w:val="false"/>
                <w:color w:val="000000"/>
                <w:sz w:val="15"/>
              </w:rPr>
              <w:t>6</w:t>
            </w:r>
          </w:p>
          <w:bookmarkEnd w:id="93"/>
        </w:tc>
        <w:tc>
          <w:tcPr>
            <w:tcW w:w="3780" w:type="dxa"/>
            <w:tcBorders>
              <w:top w:val="outset" w:color="000000" w:sz="8"/>
              <w:left w:val="outset" w:color="000000" w:sz="8"/>
              <w:bottom w:val="outset" w:color="000000" w:sz="8"/>
              <w:right w:val="outset" w:color="000000" w:sz="8"/>
            </w:tcBorders>
            <w:vAlign w:val="center"/>
          </w:tcPr>
          <w:bookmarkStart w:name="96" w:id="94"/>
          <w:p>
            <w:pPr>
              <w:spacing w:after="0"/>
              <w:ind w:left="0"/>
              <w:jc w:val="center"/>
            </w:pPr>
            <w:r>
              <w:rPr>
                <w:rFonts w:ascii="Arial"/>
                <w:b w:val="false"/>
                <w:i w:val="false"/>
                <w:color w:val="000000"/>
                <w:sz w:val="15"/>
              </w:rPr>
              <w:t>Понад 100</w:t>
            </w:r>
          </w:p>
          <w:bookmarkEnd w:id="94"/>
        </w:tc>
        <w:tc>
          <w:tcPr>
            <w:tcW w:w="2228" w:type="dxa"/>
            <w:tcBorders>
              <w:top w:val="outset" w:color="000000" w:sz="8"/>
              <w:left w:val="outset" w:color="000000" w:sz="8"/>
              <w:bottom w:val="outset" w:color="000000" w:sz="8"/>
              <w:right w:val="outset" w:color="000000" w:sz="8"/>
            </w:tcBorders>
            <w:vAlign w:val="center"/>
          </w:tcPr>
          <w:bookmarkStart w:name="97" w:id="95"/>
          <w:p>
            <w:pPr>
              <w:spacing w:after="0"/>
              <w:ind w:left="0"/>
              <w:jc w:val="center"/>
            </w:pPr>
            <w:r>
              <w:rPr>
                <w:rFonts w:ascii="Arial"/>
                <w:b w:val="false"/>
                <w:i w:val="false"/>
                <w:color w:val="000000"/>
                <w:sz w:val="15"/>
              </w:rPr>
              <w:t>50000</w:t>
            </w:r>
          </w:p>
          <w:bookmarkEnd w:id="95"/>
        </w:tc>
        <w:tc>
          <w:tcPr>
            <w:tcW w:w="2519" w:type="dxa"/>
            <w:tcBorders>
              <w:top w:val="outset" w:color="000000" w:sz="8"/>
              <w:left w:val="outset" w:color="000000" w:sz="8"/>
              <w:bottom w:val="outset" w:color="000000" w:sz="8"/>
              <w:right w:val="outset" w:color="000000" w:sz="8"/>
            </w:tcBorders>
            <w:vAlign w:val="center"/>
          </w:tcPr>
          <w:bookmarkStart w:name="98" w:id="96"/>
          <w:p>
            <w:pPr>
              <w:spacing w:after="0"/>
              <w:ind w:left="0"/>
              <w:jc w:val="center"/>
            </w:pPr>
            <w:r>
              <w:rPr>
                <w:rFonts w:ascii="Arial"/>
                <w:b w:val="false"/>
                <w:i w:val="false"/>
                <w:color w:val="000000"/>
                <w:sz w:val="15"/>
              </w:rPr>
              <w:t>4000</w:t>
            </w:r>
          </w:p>
          <w:bookmarkEnd w:id="96"/>
        </w:tc>
      </w:tr>
    </w:tbl>
    <w:p>
      <w:pPr>
        <w:spacing/>
        <w:ind w:left="0"/>
        <w:jc w:val="left"/>
      </w:pPr>
      <w:r>
        <w:br/>
      </w:r>
    </w:p>
    <w:bookmarkStart w:name="99" w:id="97"/>
    <w:p>
      <w:pPr>
        <w:spacing w:after="0"/>
        <w:ind w:firstLine="240"/>
        <w:jc w:val="left"/>
      </w:pPr>
      <w:r>
        <w:rPr>
          <w:rFonts w:ascii="Arial"/>
          <w:b w:val="false"/>
          <w:i w:val="false"/>
          <w:color w:val="000000"/>
          <w:sz w:val="18"/>
        </w:rPr>
        <w:t xml:space="preserve">Коефіцієнт складності </w:t>
      </w:r>
      <w:r>
        <w:rPr>
          <w:rFonts w:ascii="Arial"/>
          <w:b/>
          <w:i w:val="false"/>
          <w:color w:val="000000"/>
          <w:sz w:val="18"/>
        </w:rPr>
        <w:t>К(с)</w:t>
      </w:r>
      <w:r>
        <w:rPr>
          <w:rFonts w:ascii="Arial"/>
          <w:b w:val="false"/>
          <w:i w:val="false"/>
          <w:color w:val="000000"/>
          <w:sz w:val="18"/>
        </w:rPr>
        <w:t>: при рівній місцевості застосовується коефіцієнт - 1, в інших випадках - 1,2.</w:t>
      </w:r>
    </w:p>
    <w:bookmarkEnd w:id="97"/>
    <w:bookmarkStart w:name="100" w:id="98"/>
    <w:p>
      <w:pPr>
        <w:spacing w:after="0"/>
        <w:ind w:firstLine="240"/>
        <w:jc w:val="left"/>
      </w:pPr>
      <w:r>
        <w:rPr>
          <w:rFonts w:ascii="Arial"/>
          <w:b w:val="false"/>
          <w:i w:val="false"/>
          <w:color w:val="000000"/>
          <w:sz w:val="18"/>
        </w:rPr>
        <w:t xml:space="preserve">При розробці рекультивації, що охоплює декілька забруднених/засмічених земельних ділянок, застосовуються коефіцієнт </w:t>
      </w:r>
      <w:r>
        <w:rPr>
          <w:rFonts w:ascii="Arial"/>
          <w:b/>
          <w:i w:val="false"/>
          <w:color w:val="000000"/>
          <w:sz w:val="18"/>
        </w:rPr>
        <w:t>К(к)</w:t>
      </w:r>
      <w:r>
        <w:rPr>
          <w:rFonts w:ascii="Arial"/>
          <w:b w:val="false"/>
          <w:i w:val="false"/>
          <w:color w:val="000000"/>
          <w:sz w:val="18"/>
        </w:rPr>
        <w:t>:</w:t>
      </w:r>
    </w:p>
    <w:bookmarkEnd w:id="9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98"/>
        <w:gridCol w:w="6492"/>
      </w:tblGrid>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01" w:id="99"/>
          <w:p>
            <w:pPr>
              <w:spacing w:after="0"/>
              <w:ind w:left="0"/>
              <w:jc w:val="center"/>
            </w:pPr>
            <w:r>
              <w:rPr>
                <w:rFonts w:ascii="Arial"/>
                <w:b/>
                <w:i w:val="false"/>
                <w:color w:val="000000"/>
                <w:sz w:val="15"/>
              </w:rPr>
              <w:t>Кількість ділянок</w:t>
            </w:r>
          </w:p>
          <w:bookmarkEnd w:id="99"/>
        </w:tc>
        <w:tc>
          <w:tcPr>
            <w:tcW w:w="6492" w:type="dxa"/>
            <w:tcBorders>
              <w:top w:val="outset" w:color="000000" w:sz="8"/>
              <w:left w:val="outset" w:color="000000" w:sz="8"/>
              <w:bottom w:val="outset" w:color="000000" w:sz="8"/>
              <w:right w:val="outset" w:color="000000" w:sz="8"/>
            </w:tcBorders>
            <w:vAlign w:val="center"/>
          </w:tcPr>
          <w:bookmarkStart w:name="102" w:id="100"/>
          <w:p>
            <w:pPr>
              <w:spacing w:after="0"/>
              <w:ind w:left="0"/>
              <w:jc w:val="center"/>
            </w:pPr>
            <w:r>
              <w:rPr>
                <w:rFonts w:ascii="Arial"/>
                <w:b/>
                <w:i w:val="false"/>
                <w:color w:val="000000"/>
                <w:sz w:val="15"/>
              </w:rPr>
              <w:t>Коефіцієнт кількості ділянок К(к)</w:t>
            </w:r>
          </w:p>
          <w:bookmarkEnd w:id="100"/>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03" w:id="101"/>
          <w:p>
            <w:pPr>
              <w:spacing w:after="0"/>
              <w:ind w:left="0"/>
              <w:jc w:val="center"/>
            </w:pPr>
            <w:r>
              <w:rPr>
                <w:rFonts w:ascii="Arial"/>
                <w:b w:val="false"/>
                <w:i w:val="false"/>
                <w:color w:val="000000"/>
                <w:sz w:val="15"/>
              </w:rPr>
              <w:t>1</w:t>
            </w:r>
          </w:p>
          <w:bookmarkEnd w:id="101"/>
        </w:tc>
        <w:tc>
          <w:tcPr>
            <w:tcW w:w="6492" w:type="dxa"/>
            <w:tcBorders>
              <w:top w:val="outset" w:color="000000" w:sz="8"/>
              <w:left w:val="outset" w:color="000000" w:sz="8"/>
              <w:bottom w:val="outset" w:color="000000" w:sz="8"/>
              <w:right w:val="outset" w:color="000000" w:sz="8"/>
            </w:tcBorders>
            <w:vAlign w:val="center"/>
          </w:tcPr>
          <w:bookmarkStart w:name="104" w:id="102"/>
          <w:p>
            <w:pPr>
              <w:spacing w:after="0"/>
              <w:ind w:left="0"/>
              <w:jc w:val="center"/>
            </w:pPr>
            <w:r>
              <w:rPr>
                <w:rFonts w:ascii="Arial"/>
                <w:b w:val="false"/>
                <w:i w:val="false"/>
                <w:color w:val="000000"/>
                <w:sz w:val="15"/>
              </w:rPr>
              <w:t>1</w:t>
            </w:r>
          </w:p>
          <w:bookmarkEnd w:id="102"/>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05" w:id="103"/>
          <w:p>
            <w:pPr>
              <w:spacing w:after="0"/>
              <w:ind w:left="0"/>
              <w:jc w:val="center"/>
            </w:pPr>
            <w:r>
              <w:rPr>
                <w:rFonts w:ascii="Arial"/>
                <w:b w:val="false"/>
                <w:i w:val="false"/>
                <w:color w:val="000000"/>
                <w:sz w:val="15"/>
              </w:rPr>
              <w:t>2</w:t>
            </w:r>
          </w:p>
          <w:bookmarkEnd w:id="103"/>
        </w:tc>
        <w:tc>
          <w:tcPr>
            <w:tcW w:w="6492" w:type="dxa"/>
            <w:tcBorders>
              <w:top w:val="outset" w:color="000000" w:sz="8"/>
              <w:left w:val="outset" w:color="000000" w:sz="8"/>
              <w:bottom w:val="outset" w:color="000000" w:sz="8"/>
              <w:right w:val="outset" w:color="000000" w:sz="8"/>
            </w:tcBorders>
            <w:vAlign w:val="center"/>
          </w:tcPr>
          <w:bookmarkStart w:name="106" w:id="104"/>
          <w:p>
            <w:pPr>
              <w:spacing w:after="0"/>
              <w:ind w:left="0"/>
              <w:jc w:val="center"/>
            </w:pPr>
            <w:r>
              <w:rPr>
                <w:rFonts w:ascii="Arial"/>
                <w:b w:val="false"/>
                <w:i w:val="false"/>
                <w:color w:val="000000"/>
                <w:sz w:val="15"/>
              </w:rPr>
              <w:t>1,1</w:t>
            </w:r>
          </w:p>
          <w:bookmarkEnd w:id="104"/>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07" w:id="105"/>
          <w:p>
            <w:pPr>
              <w:spacing w:after="0"/>
              <w:ind w:left="0"/>
              <w:jc w:val="center"/>
            </w:pPr>
            <w:r>
              <w:rPr>
                <w:rFonts w:ascii="Arial"/>
                <w:b w:val="false"/>
                <w:i w:val="false"/>
                <w:color w:val="000000"/>
                <w:sz w:val="15"/>
              </w:rPr>
              <w:t>3</w:t>
            </w:r>
          </w:p>
          <w:bookmarkEnd w:id="105"/>
        </w:tc>
        <w:tc>
          <w:tcPr>
            <w:tcW w:w="6492" w:type="dxa"/>
            <w:tcBorders>
              <w:top w:val="outset" w:color="000000" w:sz="8"/>
              <w:left w:val="outset" w:color="000000" w:sz="8"/>
              <w:bottom w:val="outset" w:color="000000" w:sz="8"/>
              <w:right w:val="outset" w:color="000000" w:sz="8"/>
            </w:tcBorders>
            <w:vAlign w:val="center"/>
          </w:tcPr>
          <w:bookmarkStart w:name="108" w:id="106"/>
          <w:p>
            <w:pPr>
              <w:spacing w:after="0"/>
              <w:ind w:left="0"/>
              <w:jc w:val="center"/>
            </w:pPr>
            <w:r>
              <w:rPr>
                <w:rFonts w:ascii="Arial"/>
                <w:b w:val="false"/>
                <w:i w:val="false"/>
                <w:color w:val="000000"/>
                <w:sz w:val="15"/>
              </w:rPr>
              <w:t>1,2</w:t>
            </w:r>
          </w:p>
          <w:bookmarkEnd w:id="106"/>
        </w:tc>
      </w:tr>
      <w:tr>
        <w:trPr>
          <w:trHeight w:val="45" w:hRule="atLeast"/>
        </w:trPr>
        <w:tc>
          <w:tcPr>
            <w:tcW w:w="3198" w:type="dxa"/>
            <w:tcBorders>
              <w:top w:val="outset" w:color="000000" w:sz="8"/>
              <w:left w:val="outset" w:color="000000" w:sz="8"/>
              <w:bottom w:val="outset" w:color="000000" w:sz="8"/>
              <w:right w:val="outset" w:color="000000" w:sz="8"/>
            </w:tcBorders>
            <w:vAlign w:val="center"/>
          </w:tcPr>
          <w:bookmarkStart w:name="109" w:id="107"/>
          <w:p>
            <w:pPr>
              <w:spacing w:after="0"/>
              <w:ind w:left="0"/>
              <w:jc w:val="center"/>
            </w:pPr>
            <w:r>
              <w:rPr>
                <w:rFonts w:ascii="Arial"/>
                <w:b w:val="false"/>
                <w:i w:val="false"/>
                <w:color w:val="000000"/>
                <w:sz w:val="15"/>
              </w:rPr>
              <w:t>4 і більше</w:t>
            </w:r>
          </w:p>
          <w:bookmarkEnd w:id="107"/>
        </w:tc>
        <w:tc>
          <w:tcPr>
            <w:tcW w:w="6492" w:type="dxa"/>
            <w:tcBorders>
              <w:top w:val="outset" w:color="000000" w:sz="8"/>
              <w:left w:val="outset" w:color="000000" w:sz="8"/>
              <w:bottom w:val="outset" w:color="000000" w:sz="8"/>
              <w:right w:val="outset" w:color="000000" w:sz="8"/>
            </w:tcBorders>
            <w:vAlign w:val="center"/>
          </w:tcPr>
          <w:bookmarkStart w:name="110" w:id="108"/>
          <w:p>
            <w:pPr>
              <w:spacing w:after="0"/>
              <w:ind w:left="0"/>
              <w:jc w:val="center"/>
            </w:pPr>
            <w:r>
              <w:rPr>
                <w:rFonts w:ascii="Arial"/>
                <w:b w:val="false"/>
                <w:i w:val="false"/>
                <w:color w:val="000000"/>
                <w:sz w:val="15"/>
              </w:rPr>
              <w:t>1,9</w:t>
            </w:r>
          </w:p>
          <w:bookmarkEnd w:id="108"/>
        </w:tc>
      </w:tr>
    </w:tbl>
    <w:p>
      <w:pPr>
        <w:spacing/>
        <w:ind w:left="0"/>
        <w:jc w:val="left"/>
      </w:pPr>
      <w:r>
        <w:br/>
      </w:r>
    </w:p>
    <w:bookmarkStart w:name="111" w:id="109"/>
    <w:p>
      <w:pPr>
        <w:spacing w:after="0"/>
        <w:ind w:firstLine="240"/>
        <w:jc w:val="left"/>
      </w:pPr>
      <w:r>
        <w:rPr>
          <w:rFonts w:ascii="Arial"/>
          <w:b w:val="false"/>
          <w:i w:val="false"/>
          <w:color w:val="000000"/>
          <w:sz w:val="18"/>
        </w:rPr>
        <w:t>7. Дані нормативної грошової оцінки земельної ділянки, ґрунти якої зазнали забруднення, беруться з будь-яких джерел.</w:t>
      </w:r>
    </w:p>
    <w:bookmarkEnd w:id="109"/>
    <w:bookmarkStart w:name="112" w:id="110"/>
    <w:p>
      <w:pPr>
        <w:spacing w:after="0"/>
        <w:ind w:firstLine="240"/>
        <w:jc w:val="left"/>
      </w:pPr>
      <w:r>
        <w:rPr>
          <w:rFonts w:ascii="Arial"/>
          <w:b w:val="false"/>
          <w:i w:val="false"/>
          <w:color w:val="000000"/>
          <w:sz w:val="18"/>
        </w:rPr>
        <w:t>Щодо земельних ділянок, грошова оцінка яких не проведена, або у випадку неможливості отримання даних з нормативної грошової оцінки земельної ділянки, ґрунти якої зазнали забруднення, ГОЗ розраховується як середня нормативна грошова оцінка площі ріллі по Автономній Республіці Крим або по області (для міста Києва використовується середня нормативна грошова оцінка площі ріллі по Київській області), помноженої на коефіцієнт, що зумовив негативні екологічні наслідки для родючості ґрунтів, який дорівнює 300.</w:t>
      </w:r>
    </w:p>
    <w:bookmarkEnd w:id="110"/>
    <w:bookmarkStart w:name="113" w:id="111"/>
    <w:p>
      <w:pPr>
        <w:spacing w:after="0"/>
        <w:ind w:firstLine="240"/>
        <w:jc w:val="left"/>
      </w:pPr>
      <w:r>
        <w:rPr>
          <w:rFonts w:ascii="Arial"/>
          <w:b w:val="false"/>
          <w:i w:val="false"/>
          <w:color w:val="000000"/>
          <w:sz w:val="18"/>
        </w:rPr>
        <w:t>8. Загальний розмір відшкодування при одночасному забрудненні земельної ділянки декількома забруднюючими речовинами визначається за формулою (2):</w:t>
      </w:r>
    </w:p>
    <w:bookmarkEnd w:id="111"/>
    <w:tbl>
      <w:tblPr>
        <w:tblW w:w="0" w:type="auto"/>
        <w:tblCellSpacing w:w="0" w:type="auto"/>
        <w:tblBorders>
          <w:top w:val="none"/>
          <w:left w:val="none"/>
          <w:bottom w:val="none"/>
          <w:right w:val="none"/>
          <w:insideH w:val="none"/>
          <w:insideV w:val="none"/>
        </w:tblBorders>
      </w:tblPr>
      <w:tblGrid>
        <w:gridCol w:w="8334"/>
        <w:gridCol w:w="1356"/>
      </w:tblGrid>
      <w:tr>
        <w:trPr>
          <w:trHeight w:val="30" w:hRule="atLeast"/>
        </w:trPr>
        <w:tc>
          <w:tcPr>
            <w:tcW w:w="8334" w:type="dxa"/>
            <w:tcBorders/>
            <w:vAlign w:val="center"/>
          </w:tcPr>
          <w:bookmarkStart w:name="114" w:id="112"/>
          <w:p>
            <w:pPr>
              <w:spacing w:after="0"/>
              <w:ind w:left="0"/>
              <w:jc w:val="center"/>
            </w:pPr>
            <w:r>
              <w:rPr>
                <w:rFonts w:ascii="Arial"/>
                <w:b/>
                <w:i w:val="false"/>
                <w:color w:val="000000"/>
                <w:sz w:val="15"/>
              </w:rPr>
              <w:t>Рш.заг. = Р ш.макс + 0,5</w:t>
            </w:r>
            <w:r>
              <w:rPr>
                <w:rFonts w:ascii="Arial"/>
                <w:b w:val="false"/>
                <w:i w:val="false"/>
                <w:color w:val="000000"/>
                <w:sz w:val="15"/>
              </w:rPr>
              <w:t xml:space="preserve"> × </w:t>
            </w:r>
            <w:r>
              <w:rPr>
                <w:rFonts w:ascii="Arial"/>
                <w:b/>
                <w:i w:val="false"/>
                <w:color w:val="000000"/>
                <w:sz w:val="15"/>
              </w:rPr>
              <w:t>(Рш1 + Рш2 + ...Ршn)</w:t>
            </w:r>
          </w:p>
          <w:bookmarkEnd w:id="112"/>
        </w:tc>
        <w:tc>
          <w:tcPr>
            <w:tcW w:w="1356" w:type="dxa"/>
            <w:tcBorders/>
            <w:vAlign w:val="center"/>
          </w:tcPr>
          <w:bookmarkStart w:name="115" w:id="113"/>
          <w:p>
            <w:pPr>
              <w:spacing w:after="0"/>
              <w:ind w:left="0"/>
              <w:jc w:val="center"/>
            </w:pPr>
            <w:r>
              <w:rPr>
                <w:rFonts w:ascii="Arial"/>
                <w:b w:val="false"/>
                <w:i w:val="false"/>
                <w:color w:val="000000"/>
                <w:sz w:val="15"/>
              </w:rPr>
              <w:t>(2)</w:t>
            </w:r>
          </w:p>
          <w:bookmarkEnd w:id="11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tbl>
            <w:tblPr>
              <w:tblW w:w="0" w:type="auto"/>
              <w:tblCellSpacing w:w="0" w:type="auto"/>
              <w:tblBorders>
                <w:top w:val="none"/>
                <w:left w:val="none"/>
                <w:bottom w:val="none"/>
                <w:right w:val="none"/>
                <w:insideH w:val="none"/>
                <w:insideV w:val="none"/>
              </w:tblBorders>
            </w:tblPr>
            <w:tblGrid>
              <w:gridCol w:w="290"/>
              <w:gridCol w:w="965"/>
              <w:gridCol w:w="8395"/>
            </w:tblGrid>
            <w:tr>
              <w:trPr>
                <w:trHeight w:val="120" w:hRule="atLeast"/>
              </w:trPr>
              <w:tc>
                <w:tcPr>
                  <w:tcW w:w="290" w:type="dxa"/>
                  <w:vMerge w:val="restart"/>
                  <w:tcBorders/>
                  <w:vAlign w:val="center"/>
                </w:tcPr>
                <w:bookmarkStart w:name="116" w:id="114"/>
                <w:p>
                  <w:pPr>
                    <w:spacing w:after="0"/>
                    <w:ind w:left="0"/>
                    <w:jc w:val="left"/>
                  </w:pPr>
                  <w:r>
                    <w:rPr>
                      <w:rFonts w:ascii="Arial"/>
                      <w:b w:val="false"/>
                      <w:i w:val="false"/>
                      <w:color w:val="000000"/>
                      <w:sz w:val="15"/>
                    </w:rPr>
                    <w:t>де</w:t>
                  </w:r>
                </w:p>
                <w:bookmarkEnd w:id="114"/>
              </w:tc>
              <w:tc>
                <w:tcPr>
                  <w:tcW w:w="965" w:type="dxa"/>
                  <w:tcBorders/>
                  <w:vAlign w:val="center"/>
                </w:tcPr>
                <w:bookmarkStart w:name="117" w:id="115"/>
                <w:p>
                  <w:pPr>
                    <w:spacing w:after="0"/>
                    <w:ind w:left="0"/>
                    <w:jc w:val="left"/>
                  </w:pPr>
                  <w:r>
                    <w:rPr>
                      <w:rFonts w:ascii="Arial"/>
                      <w:b/>
                      <w:i w:val="false"/>
                      <w:color w:val="000000"/>
                      <w:sz w:val="15"/>
                    </w:rPr>
                    <w:t>Р</w:t>
                  </w:r>
                  <w:r>
                    <w:rPr>
                      <w:rFonts w:ascii="Arial"/>
                      <w:b/>
                      <w:i w:val="false"/>
                      <w:color w:val="000000"/>
                      <w:vertAlign w:val="subscript"/>
                    </w:rPr>
                    <w:t>ш.заг</w:t>
                  </w:r>
                </w:p>
                <w:bookmarkEnd w:id="115"/>
              </w:tc>
              <w:tc>
                <w:tcPr>
                  <w:tcW w:w="8395" w:type="dxa"/>
                  <w:tcBorders/>
                  <w:vAlign w:val="center"/>
                </w:tcPr>
                <w:bookmarkStart w:name="118" w:id="116"/>
                <w:p>
                  <w:pPr>
                    <w:spacing w:after="0"/>
                    <w:ind w:left="0"/>
                    <w:jc w:val="left"/>
                  </w:pPr>
                  <w:r>
                    <w:rPr>
                      <w:rFonts w:ascii="Arial"/>
                      <w:b w:val="false"/>
                      <w:i w:val="false"/>
                      <w:color w:val="000000"/>
                      <w:sz w:val="15"/>
                    </w:rPr>
                    <w:t>- загальний розмір шкоди від забруднення земельної ділянки декількома забруднюючими речовинами, грн;</w:t>
                  </w:r>
                </w:p>
                <w:bookmarkEnd w:id="116"/>
              </w:tc>
            </w:tr>
            <w:tr>
              <w:trPr>
                <w:trHeight w:val="120" w:hRule="atLeast"/>
              </w:trPr>
              <w:tc>
                <w:tcPr>
                  <w:tcW w:w="0" w:type="auto"/>
                  <w:vMerge/>
                  <w:tcBorders>
                    <w:top w:val="nil"/>
                  </w:tcBorders>
                </w:tcPr>
                <w:p/>
              </w:tc>
              <w:tc>
                <w:tcPr>
                  <w:tcW w:w="965" w:type="dxa"/>
                  <w:tcBorders/>
                  <w:vAlign w:val="center"/>
                </w:tcPr>
                <w:bookmarkStart w:name="119" w:id="117"/>
                <w:p>
                  <w:pPr>
                    <w:spacing w:after="0"/>
                    <w:ind w:left="0"/>
                    <w:jc w:val="left"/>
                  </w:pPr>
                  <w:r>
                    <w:rPr>
                      <w:rFonts w:ascii="Arial"/>
                      <w:b/>
                      <w:i w:val="false"/>
                      <w:color w:val="000000"/>
                      <w:sz w:val="15"/>
                    </w:rPr>
                    <w:t>Р</w:t>
                  </w:r>
                  <w:r>
                    <w:rPr>
                      <w:rFonts w:ascii="Arial"/>
                      <w:b/>
                      <w:i w:val="false"/>
                      <w:color w:val="000000"/>
                      <w:vertAlign w:val="subscript"/>
                    </w:rPr>
                    <w:t>ш.макс</w:t>
                  </w:r>
                </w:p>
                <w:bookmarkEnd w:id="117"/>
              </w:tc>
              <w:tc>
                <w:tcPr>
                  <w:tcW w:w="8395" w:type="dxa"/>
                  <w:tcBorders/>
                  <w:vAlign w:val="center"/>
                </w:tcPr>
                <w:bookmarkStart w:name="120" w:id="118"/>
                <w:p>
                  <w:pPr>
                    <w:spacing w:after="0"/>
                    <w:ind w:left="0"/>
                    <w:jc w:val="left"/>
                  </w:pPr>
                  <w:r>
                    <w:rPr>
                      <w:rFonts w:ascii="Arial"/>
                      <w:b w:val="false"/>
                      <w:i w:val="false"/>
                      <w:color w:val="000000"/>
                      <w:sz w:val="15"/>
                    </w:rPr>
                    <w:t>- максимальний з усіх розрахованих окремо для кожної забруднюючої речовини розмір шкоди від забруднення земельної ділянки, грн;</w:t>
                  </w:r>
                </w:p>
                <w:bookmarkEnd w:id="118"/>
              </w:tc>
            </w:tr>
            <w:tr>
              <w:trPr>
                <w:trHeight w:val="120" w:hRule="atLeast"/>
              </w:trPr>
              <w:tc>
                <w:tcPr>
                  <w:tcW w:w="0" w:type="auto"/>
                  <w:vMerge/>
                  <w:tcBorders>
                    <w:top w:val="nil"/>
                  </w:tcBorders>
                </w:tcPr>
                <w:p/>
              </w:tc>
              <w:tc>
                <w:tcPr>
                  <w:tcW w:w="965" w:type="dxa"/>
                  <w:tcBorders/>
                  <w:vAlign w:val="center"/>
                </w:tcPr>
                <w:bookmarkStart w:name="121" w:id="119"/>
                <w:p>
                  <w:pPr>
                    <w:spacing w:after="0"/>
                    <w:ind w:left="0"/>
                    <w:jc w:val="left"/>
                  </w:pPr>
                  <w:r>
                    <w:rPr>
                      <w:rFonts w:ascii="Arial"/>
                      <w:b/>
                      <w:i w:val="false"/>
                      <w:color w:val="000000"/>
                      <w:sz w:val="15"/>
                    </w:rPr>
                    <w:t>Рш1 + Рш2 + ...Ршn</w:t>
                  </w:r>
                </w:p>
                <w:bookmarkEnd w:id="119"/>
              </w:tc>
              <w:tc>
                <w:tcPr>
                  <w:tcW w:w="8395" w:type="dxa"/>
                  <w:tcBorders/>
                  <w:vAlign w:val="center"/>
                </w:tcPr>
                <w:bookmarkStart w:name="122" w:id="120"/>
                <w:p>
                  <w:pPr>
                    <w:spacing w:after="0"/>
                    <w:ind w:left="0"/>
                    <w:jc w:val="left"/>
                  </w:pPr>
                  <w:r>
                    <w:rPr>
                      <w:rFonts w:ascii="Arial"/>
                      <w:b w:val="false"/>
                      <w:i w:val="false"/>
                      <w:color w:val="000000"/>
                      <w:sz w:val="15"/>
                    </w:rPr>
                    <w:t>- розрахований розмір шкоди від забруднення земельної ділянки іншими забруднюючими речовинами, грн.</w:t>
                  </w:r>
                </w:p>
                <w:bookmarkEnd w:id="120"/>
              </w:tc>
            </w:tr>
          </w:tbl>
          <w:p>
            <w:pPr>
              <w:spacing/>
              <w:ind w:left="0"/>
              <w:jc w:val="left"/>
            </w:pPr>
            <w:r>
              <w:br/>
            </w:r>
          </w:p>
        </w:tc>
      </w:tr>
    </w:tbl>
    <w:p>
      <w:pPr>
        <w:spacing/>
        <w:ind w:left="0"/>
        <w:jc w:val="left"/>
      </w:pPr>
      <w:r>
        <w:br/>
      </w:r>
    </w:p>
    <w:bookmarkStart w:name="123" w:id="121"/>
    <w:p>
      <w:pPr>
        <w:pStyle w:val="Heading3"/>
        <w:spacing w:after="0"/>
        <w:ind w:left="0"/>
        <w:jc w:val="center"/>
      </w:pPr>
      <w:r>
        <w:rPr>
          <w:rFonts w:ascii="Arial"/>
          <w:color w:val="000000"/>
          <w:sz w:val="27"/>
        </w:rPr>
        <w:t>IV. Визначення розміру шкоди внаслідок засмічення земель</w:t>
      </w:r>
    </w:p>
    <w:bookmarkEnd w:id="121"/>
    <w:bookmarkStart w:name="124" w:id="122"/>
    <w:p>
      <w:pPr>
        <w:spacing w:after="0"/>
        <w:ind w:firstLine="240"/>
        <w:jc w:val="left"/>
      </w:pPr>
      <w:r>
        <w:rPr>
          <w:rFonts w:ascii="Arial"/>
          <w:b w:val="false"/>
          <w:i w:val="false"/>
          <w:color w:val="000000"/>
          <w:sz w:val="18"/>
        </w:rPr>
        <w:t>1. Розмір шкоди обчислюється уповноваженими особами, що здійснюють державний нагляд (контроль) за додержанням вимог законодавства про охорону навколишнього природного середовища, на основі, зокрема, але не виключно, матеріалів, що підтверджують факт засмічення земель, визначеного відповідно до пункту 3 розділу II цієї Методики.</w:t>
      </w:r>
    </w:p>
    <w:bookmarkEnd w:id="122"/>
    <w:bookmarkStart w:name="125" w:id="123"/>
    <w:p>
      <w:pPr>
        <w:spacing w:after="0"/>
        <w:ind w:firstLine="240"/>
        <w:jc w:val="left"/>
      </w:pPr>
      <w:r>
        <w:rPr>
          <w:rFonts w:ascii="Arial"/>
          <w:b w:val="false"/>
          <w:i w:val="false"/>
          <w:color w:val="000000"/>
          <w:sz w:val="18"/>
        </w:rPr>
        <w:t>2. Віднесення відходів, що спричинили засмічення земельної ділянки, до категорії небезпечних (токсичних) відходів здійснюється у відповідності до чинних нормативних документів у сфері поводження з відходами, затверджених у встановленому порядку, переліків небезпечних (токсичних) відходів тощо.</w:t>
      </w:r>
    </w:p>
    <w:bookmarkEnd w:id="123"/>
    <w:bookmarkStart w:name="126" w:id="124"/>
    <w:p>
      <w:pPr>
        <w:spacing w:after="0"/>
        <w:ind w:firstLine="240"/>
        <w:jc w:val="left"/>
      </w:pPr>
      <w:r>
        <w:rPr>
          <w:rFonts w:ascii="Arial"/>
          <w:b w:val="false"/>
          <w:i w:val="false"/>
          <w:color w:val="000000"/>
          <w:sz w:val="18"/>
        </w:rPr>
        <w:t>3. Розмір шкоди внаслідок засмічення земель визначається за формулою:</w:t>
      </w:r>
    </w:p>
    <w:bookmarkEnd w:id="124"/>
    <w:bookmarkStart w:name="127" w:id="125"/>
    <w:p>
      <w:pPr>
        <w:spacing w:after="0"/>
        <w:ind w:left="0"/>
        <w:jc w:val="center"/>
      </w:pPr>
      <w:r>
        <w:rPr>
          <w:rFonts w:ascii="Arial"/>
          <w:b/>
          <w:i w:val="false"/>
          <w:color w:val="000000"/>
          <w:sz w:val="18"/>
        </w:rPr>
        <w:t>Ршз = А</w:t>
      </w:r>
      <w:r>
        <w:rPr>
          <w:rFonts w:ascii="Arial"/>
          <w:b w:val="false"/>
          <w:i w:val="false"/>
          <w:color w:val="000000"/>
          <w:sz w:val="18"/>
        </w:rPr>
        <w:t xml:space="preserve"> × </w:t>
      </w:r>
      <w:r>
        <w:rPr>
          <w:rFonts w:ascii="Arial"/>
          <w:b/>
          <w:i w:val="false"/>
          <w:color w:val="000000"/>
          <w:sz w:val="18"/>
        </w:rPr>
        <w:t>Б</w:t>
      </w:r>
      <w:r>
        <w:rPr>
          <w:rFonts w:ascii="Arial"/>
          <w:b w:val="false"/>
          <w:i w:val="false"/>
          <w:color w:val="000000"/>
          <w:sz w:val="18"/>
        </w:rPr>
        <w:t xml:space="preserve"> × </w:t>
      </w:r>
      <w:r>
        <w:rPr>
          <w:rFonts w:ascii="Arial"/>
          <w:b/>
          <w:i w:val="false"/>
          <w:color w:val="000000"/>
          <w:sz w:val="18"/>
        </w:rPr>
        <w:t>Гоз</w:t>
      </w:r>
      <w:r>
        <w:rPr>
          <w:rFonts w:ascii="Arial"/>
          <w:b w:val="false"/>
          <w:i w:val="false"/>
          <w:color w:val="000000"/>
          <w:sz w:val="18"/>
        </w:rPr>
        <w:t xml:space="preserve"> × </w:t>
      </w:r>
      <w:r>
        <w:rPr>
          <w:rFonts w:ascii="Arial"/>
          <w:b/>
          <w:i w:val="false"/>
          <w:color w:val="000000"/>
          <w:sz w:val="18"/>
        </w:rPr>
        <w:t>Пдз</w:t>
      </w:r>
      <w:r>
        <w:rPr>
          <w:rFonts w:ascii="Arial"/>
          <w:b w:val="false"/>
          <w:i w:val="false"/>
          <w:color w:val="000000"/>
          <w:sz w:val="18"/>
        </w:rPr>
        <w:t xml:space="preserve"> × </w:t>
      </w:r>
      <w:r>
        <w:rPr>
          <w:rFonts w:ascii="Arial"/>
          <w:b/>
          <w:i w:val="false"/>
          <w:color w:val="000000"/>
          <w:sz w:val="18"/>
        </w:rPr>
        <w:t>Кзз</w:t>
      </w:r>
      <w:r>
        <w:rPr>
          <w:rFonts w:ascii="Arial"/>
          <w:b w:val="false"/>
          <w:i w:val="false"/>
          <w:color w:val="000000"/>
          <w:sz w:val="18"/>
        </w:rPr>
        <w:t xml:space="preserve"> × </w:t>
      </w:r>
      <w:r>
        <w:rPr>
          <w:rFonts w:ascii="Arial"/>
          <w:b/>
          <w:i w:val="false"/>
          <w:color w:val="000000"/>
          <w:sz w:val="18"/>
        </w:rPr>
        <w:t>Кег</w:t>
      </w:r>
      <w:r>
        <w:rPr>
          <w:rFonts w:ascii="Arial"/>
          <w:b w:val="false"/>
          <w:i w:val="false"/>
          <w:color w:val="000000"/>
          <w:sz w:val="18"/>
        </w:rPr>
        <w:t>,</w:t>
      </w:r>
    </w:p>
    <w:bookmarkEnd w:id="12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tbl>
            <w:tblPr>
              <w:tblW w:w="0" w:type="auto"/>
              <w:tblCellSpacing w:w="0" w:type="auto"/>
              <w:tblBorders>
                <w:top w:val="none"/>
                <w:left w:val="none"/>
                <w:bottom w:val="none"/>
                <w:right w:val="none"/>
                <w:insideH w:val="none"/>
                <w:insideV w:val="none"/>
              </w:tblBorders>
            </w:tblPr>
            <w:tblGrid>
              <w:gridCol w:w="290"/>
              <w:gridCol w:w="579"/>
              <w:gridCol w:w="8781"/>
            </w:tblGrid>
            <w:tr>
              <w:trPr>
                <w:trHeight w:val="120" w:hRule="atLeast"/>
              </w:trPr>
              <w:tc>
                <w:tcPr>
                  <w:tcW w:w="290" w:type="dxa"/>
                  <w:vMerge w:val="restart"/>
                  <w:tcBorders/>
                  <w:vAlign w:val="center"/>
                </w:tcPr>
                <w:bookmarkStart w:name="128" w:id="126"/>
                <w:p>
                  <w:pPr>
                    <w:spacing w:after="0"/>
                    <w:ind w:left="0"/>
                    <w:jc w:val="left"/>
                  </w:pPr>
                  <w:r>
                    <w:rPr>
                      <w:rFonts w:ascii="Arial"/>
                      <w:b w:val="false"/>
                      <w:i w:val="false"/>
                      <w:color w:val="000000"/>
                      <w:sz w:val="15"/>
                    </w:rPr>
                    <w:t>де</w:t>
                  </w:r>
                </w:p>
                <w:bookmarkEnd w:id="126"/>
              </w:tc>
              <w:tc>
                <w:tcPr>
                  <w:tcW w:w="579" w:type="dxa"/>
                  <w:tcBorders/>
                  <w:vAlign w:val="center"/>
                </w:tcPr>
                <w:bookmarkStart w:name="129" w:id="127"/>
                <w:p>
                  <w:pPr>
                    <w:spacing w:after="0"/>
                    <w:ind w:left="0"/>
                    <w:jc w:val="left"/>
                  </w:pPr>
                  <w:r>
                    <w:rPr>
                      <w:rFonts w:ascii="Arial"/>
                      <w:b/>
                      <w:i w:val="false"/>
                      <w:color w:val="000000"/>
                      <w:sz w:val="15"/>
                    </w:rPr>
                    <w:t>Ршз</w:t>
                  </w:r>
                </w:p>
                <w:bookmarkEnd w:id="127"/>
              </w:tc>
              <w:tc>
                <w:tcPr>
                  <w:tcW w:w="8781" w:type="dxa"/>
                  <w:tcBorders/>
                  <w:vAlign w:val="center"/>
                </w:tcPr>
                <w:bookmarkStart w:name="130" w:id="128"/>
                <w:p>
                  <w:pPr>
                    <w:spacing w:after="0"/>
                    <w:ind w:left="0"/>
                    <w:jc w:val="left"/>
                  </w:pPr>
                  <w:r>
                    <w:rPr>
                      <w:rFonts w:ascii="Arial"/>
                      <w:b w:val="false"/>
                      <w:i w:val="false"/>
                      <w:color w:val="000000"/>
                      <w:sz w:val="15"/>
                    </w:rPr>
                    <w:t>- розмір шкоди від засмічення земель, грн;</w:t>
                  </w:r>
                </w:p>
                <w:bookmarkEnd w:id="128"/>
              </w:tc>
            </w:tr>
            <w:tr>
              <w:trPr>
                <w:trHeight w:val="120" w:hRule="atLeast"/>
              </w:trPr>
              <w:tc>
                <w:tcPr>
                  <w:tcW w:w="0" w:type="auto"/>
                  <w:vMerge/>
                  <w:tcBorders>
                    <w:top w:val="nil"/>
                  </w:tcBorders>
                </w:tcPr>
                <w:p/>
              </w:tc>
              <w:tc>
                <w:tcPr>
                  <w:tcW w:w="579" w:type="dxa"/>
                  <w:tcBorders/>
                  <w:vAlign w:val="center"/>
                </w:tcPr>
                <w:bookmarkStart w:name="131" w:id="129"/>
                <w:p>
                  <w:pPr>
                    <w:spacing w:after="0"/>
                    <w:ind w:left="0"/>
                    <w:jc w:val="left"/>
                  </w:pPr>
                  <w:r>
                    <w:rPr>
                      <w:rFonts w:ascii="Arial"/>
                      <w:b/>
                      <w:i w:val="false"/>
                      <w:color w:val="000000"/>
                      <w:sz w:val="15"/>
                    </w:rPr>
                    <w:t>А</w:t>
                  </w:r>
                </w:p>
                <w:bookmarkEnd w:id="129"/>
              </w:tc>
              <w:tc>
                <w:tcPr>
                  <w:tcW w:w="8781" w:type="dxa"/>
                  <w:tcBorders/>
                  <w:vAlign w:val="center"/>
                </w:tcPr>
                <w:bookmarkStart w:name="132" w:id="130"/>
                <w:p>
                  <w:pPr>
                    <w:spacing w:after="0"/>
                    <w:ind w:left="0"/>
                    <w:jc w:val="left"/>
                  </w:pPr>
                  <w:r>
                    <w:rPr>
                      <w:rFonts w:ascii="Arial"/>
                      <w:b w:val="false"/>
                      <w:i w:val="false"/>
                      <w:color w:val="000000"/>
                      <w:sz w:val="15"/>
                    </w:rPr>
                    <w:t>- питомі витрати на ліквідацію наслідків засмічення земельної ділянки, в тому числі прибирання, значення якого дорівнює 1;</w:t>
                  </w:r>
                </w:p>
                <w:bookmarkEnd w:id="130"/>
              </w:tc>
            </w:tr>
            <w:tr>
              <w:trPr>
                <w:trHeight w:val="120" w:hRule="atLeast"/>
              </w:trPr>
              <w:tc>
                <w:tcPr>
                  <w:tcW w:w="0" w:type="auto"/>
                  <w:vMerge/>
                  <w:tcBorders>
                    <w:top w:val="nil"/>
                  </w:tcBorders>
                </w:tcPr>
                <w:p/>
              </w:tc>
              <w:tc>
                <w:tcPr>
                  <w:tcW w:w="579" w:type="dxa"/>
                  <w:tcBorders/>
                  <w:vAlign w:val="center"/>
                </w:tcPr>
                <w:bookmarkStart w:name="133" w:id="131"/>
                <w:p>
                  <w:pPr>
                    <w:spacing w:after="0"/>
                    <w:ind w:left="0"/>
                    <w:jc w:val="left"/>
                  </w:pPr>
                  <w:r>
                    <w:rPr>
                      <w:rFonts w:ascii="Arial"/>
                      <w:b/>
                      <w:i w:val="false"/>
                      <w:color w:val="000000"/>
                      <w:sz w:val="15"/>
                    </w:rPr>
                    <w:t>Б</w:t>
                  </w:r>
                </w:p>
                <w:bookmarkEnd w:id="131"/>
              </w:tc>
              <w:tc>
                <w:tcPr>
                  <w:tcW w:w="8781" w:type="dxa"/>
                  <w:tcBorders/>
                  <w:vAlign w:val="center"/>
                </w:tcPr>
                <w:bookmarkStart w:name="134" w:id="132"/>
                <w:p>
                  <w:pPr>
                    <w:spacing w:after="0"/>
                    <w:ind w:left="0"/>
                    <w:jc w:val="left"/>
                  </w:pPr>
                  <w:r>
                    <w:rPr>
                      <w:rFonts w:ascii="Arial"/>
                      <w:b w:val="false"/>
                      <w:i w:val="false"/>
                      <w:color w:val="000000"/>
                      <w:sz w:val="15"/>
                    </w:rPr>
                    <w:t>- коефіцієнт перерахунку, що при засміченні земельної ділянки сторонніми предметами, матеріалами, відходами та/або іншими речовинами без відповідних дозволів дорівнює 15, а небезпечними відходами та/або іншими небезпечними речовинами - 300.</w:t>
                  </w:r>
                </w:p>
                <w:bookmarkEnd w:id="132"/>
              </w:tc>
            </w:tr>
            <w:tr>
              <w:trPr>
                <w:trHeight w:val="120" w:hRule="atLeast"/>
              </w:trPr>
              <w:tc>
                <w:tcPr>
                  <w:tcW w:w="0" w:type="auto"/>
                  <w:vMerge/>
                  <w:tcBorders>
                    <w:top w:val="nil"/>
                  </w:tcBorders>
                </w:tcPr>
                <w:p/>
              </w:tc>
              <w:tc>
                <w:tcPr>
                  <w:tcW w:w="579" w:type="dxa"/>
                  <w:tcBorders/>
                  <w:vAlign w:val="center"/>
                </w:tcPr>
                <w:bookmarkStart w:name="135" w:id="133"/>
                <w:p>
                  <w:pPr>
                    <w:spacing w:after="0"/>
                    <w:ind w:left="0"/>
                    <w:jc w:val="left"/>
                  </w:pPr>
                  <w:r>
                    <w:rPr>
                      <w:rFonts w:ascii="Arial"/>
                      <w:b/>
                      <w:i w:val="false"/>
                      <w:color w:val="000000"/>
                      <w:sz w:val="15"/>
                    </w:rPr>
                    <w:t>Гоз</w:t>
                  </w:r>
                </w:p>
                <w:bookmarkEnd w:id="133"/>
              </w:tc>
              <w:tc>
                <w:tcPr>
                  <w:tcW w:w="8781" w:type="dxa"/>
                  <w:tcBorders/>
                  <w:vAlign w:val="center"/>
                </w:tcPr>
                <w:bookmarkStart w:name="136" w:id="134"/>
                <w:p>
                  <w:pPr>
                    <w:spacing w:after="0"/>
                    <w:ind w:left="0"/>
                    <w:jc w:val="left"/>
                  </w:pPr>
                  <w:r>
                    <w:rPr>
                      <w:rFonts w:ascii="Arial"/>
                      <w:b w:val="false"/>
                      <w:i w:val="false"/>
                      <w:color w:val="000000"/>
                      <w:sz w:val="15"/>
                    </w:rPr>
                    <w:t>- нормативна грошова оцінка земельної ділянки, що зазнала засмічення, грн/кв. м;</w:t>
                  </w:r>
                </w:p>
                <w:bookmarkEnd w:id="134"/>
              </w:tc>
            </w:tr>
            <w:tr>
              <w:trPr>
                <w:trHeight w:val="120" w:hRule="atLeast"/>
              </w:trPr>
              <w:tc>
                <w:tcPr>
                  <w:tcW w:w="0" w:type="auto"/>
                  <w:vMerge/>
                  <w:tcBorders>
                    <w:top w:val="nil"/>
                  </w:tcBorders>
                </w:tcPr>
                <w:p/>
              </w:tc>
              <w:tc>
                <w:tcPr>
                  <w:tcW w:w="579" w:type="dxa"/>
                  <w:tcBorders/>
                  <w:vAlign w:val="center"/>
                </w:tcPr>
                <w:bookmarkStart w:name="137" w:id="135"/>
                <w:p>
                  <w:pPr>
                    <w:spacing w:after="0"/>
                    <w:ind w:left="0"/>
                    <w:jc w:val="left"/>
                  </w:pPr>
                  <w:r>
                    <w:rPr>
                      <w:rFonts w:ascii="Arial"/>
                      <w:b/>
                      <w:i w:val="false"/>
                      <w:color w:val="000000"/>
                      <w:sz w:val="15"/>
                    </w:rPr>
                    <w:t>Пдз</w:t>
                  </w:r>
                </w:p>
                <w:bookmarkEnd w:id="135"/>
              </w:tc>
              <w:tc>
                <w:tcPr>
                  <w:tcW w:w="8781" w:type="dxa"/>
                  <w:tcBorders/>
                  <w:vAlign w:val="center"/>
                </w:tcPr>
                <w:bookmarkStart w:name="138" w:id="136"/>
                <w:p>
                  <w:pPr>
                    <w:spacing w:after="0"/>
                    <w:ind w:left="0"/>
                    <w:jc w:val="left"/>
                  </w:pPr>
                  <w:r>
                    <w:rPr>
                      <w:rFonts w:ascii="Arial"/>
                      <w:b w:val="false"/>
                      <w:i w:val="false"/>
                      <w:color w:val="000000"/>
                      <w:sz w:val="15"/>
                    </w:rPr>
                    <w:t>- площа засміченої земельної ділянки кв. м;</w:t>
                  </w:r>
                </w:p>
                <w:bookmarkEnd w:id="136"/>
              </w:tc>
            </w:tr>
            <w:tr>
              <w:trPr>
                <w:trHeight w:val="120" w:hRule="atLeast"/>
              </w:trPr>
              <w:tc>
                <w:tcPr>
                  <w:tcW w:w="0" w:type="auto"/>
                  <w:vMerge/>
                  <w:tcBorders>
                    <w:top w:val="nil"/>
                  </w:tcBorders>
                </w:tcPr>
                <w:p/>
              </w:tc>
              <w:tc>
                <w:tcPr>
                  <w:tcW w:w="579" w:type="dxa"/>
                  <w:tcBorders/>
                  <w:vAlign w:val="center"/>
                </w:tcPr>
                <w:bookmarkStart w:name="139" w:id="137"/>
                <w:p>
                  <w:pPr>
                    <w:spacing w:after="0"/>
                    <w:ind w:left="0"/>
                    <w:jc w:val="left"/>
                  </w:pPr>
                  <w:r>
                    <w:rPr>
                      <w:rFonts w:ascii="Arial"/>
                      <w:b/>
                      <w:i w:val="false"/>
                      <w:color w:val="000000"/>
                      <w:sz w:val="15"/>
                    </w:rPr>
                    <w:t>Кзз</w:t>
                  </w:r>
                </w:p>
                <w:bookmarkEnd w:id="137"/>
              </w:tc>
              <w:tc>
                <w:tcPr>
                  <w:tcW w:w="8781" w:type="dxa"/>
                  <w:tcBorders/>
                  <w:vAlign w:val="center"/>
                </w:tcPr>
                <w:bookmarkStart w:name="140" w:id="138"/>
                <w:p>
                  <w:pPr>
                    <w:spacing w:after="0"/>
                    <w:ind w:left="0"/>
                    <w:jc w:val="left"/>
                  </w:pPr>
                  <w:r>
                    <w:rPr>
                      <w:rFonts w:ascii="Arial"/>
                      <w:b w:val="false"/>
                      <w:i w:val="false"/>
                      <w:color w:val="000000"/>
                      <w:sz w:val="15"/>
                    </w:rPr>
                    <w:t xml:space="preserve">- коефіцієнт засмічення земельної ділянки, що характеризує ступінь засмічення її відходами, який визначається за </w:t>
                  </w:r>
                  <w:r>
                    <w:rPr>
                      <w:rFonts w:ascii="Arial"/>
                      <w:b w:val="false"/>
                      <w:i w:val="false"/>
                      <w:color w:val="000000"/>
                      <w:sz w:val="15"/>
                    </w:rPr>
                    <w:t>додатком 5 до Методики 171</w:t>
                  </w:r>
                  <w:r>
                    <w:rPr>
                      <w:rFonts w:ascii="Arial"/>
                      <w:b w:val="false"/>
                      <w:i w:val="false"/>
                      <w:color w:val="000000"/>
                      <w:sz w:val="15"/>
                    </w:rPr>
                    <w:t>;</w:t>
                  </w:r>
                </w:p>
                <w:bookmarkEnd w:id="138"/>
              </w:tc>
            </w:tr>
            <w:tr>
              <w:trPr>
                <w:trHeight w:val="120" w:hRule="atLeast"/>
              </w:trPr>
              <w:tc>
                <w:tcPr>
                  <w:tcW w:w="0" w:type="auto"/>
                  <w:vMerge/>
                  <w:tcBorders>
                    <w:top w:val="nil"/>
                  </w:tcBorders>
                </w:tcPr>
                <w:p/>
              </w:tc>
              <w:tc>
                <w:tcPr>
                  <w:tcW w:w="579" w:type="dxa"/>
                  <w:tcBorders/>
                  <w:vAlign w:val="center"/>
                </w:tcPr>
                <w:bookmarkStart w:name="141" w:id="139"/>
                <w:p>
                  <w:pPr>
                    <w:spacing w:after="0"/>
                    <w:ind w:left="0"/>
                    <w:jc w:val="left"/>
                  </w:pPr>
                  <w:r>
                    <w:rPr>
                      <w:rFonts w:ascii="Arial"/>
                      <w:b/>
                      <w:i w:val="false"/>
                      <w:color w:val="000000"/>
                      <w:sz w:val="15"/>
                    </w:rPr>
                    <w:t>Кег</w:t>
                  </w:r>
                </w:p>
                <w:bookmarkEnd w:id="139"/>
              </w:tc>
              <w:tc>
                <w:tcPr>
                  <w:tcW w:w="8781" w:type="dxa"/>
                  <w:tcBorders/>
                  <w:vAlign w:val="center"/>
                </w:tcPr>
                <w:bookmarkStart w:name="142" w:id="140"/>
                <w:p>
                  <w:pPr>
                    <w:spacing w:after="0"/>
                    <w:ind w:left="0"/>
                    <w:jc w:val="left"/>
                  </w:pPr>
                  <w:r>
                    <w:rPr>
                      <w:rFonts w:ascii="Arial"/>
                      <w:b w:val="false"/>
                      <w:i w:val="false"/>
                      <w:color w:val="000000"/>
                      <w:sz w:val="15"/>
                    </w:rPr>
                    <w:t xml:space="preserve">- коефіцієнт еколого-господарського значення земель визначається за </w:t>
                  </w:r>
                  <w:r>
                    <w:rPr>
                      <w:rFonts w:ascii="Arial"/>
                      <w:b w:val="false"/>
                      <w:i w:val="false"/>
                      <w:color w:val="000000"/>
                      <w:sz w:val="15"/>
                    </w:rPr>
                    <w:t>додатком 2 до Методики 171</w:t>
                  </w:r>
                  <w:r>
                    <w:rPr>
                      <w:rFonts w:ascii="Arial"/>
                      <w:b w:val="false"/>
                      <w:i w:val="false"/>
                      <w:color w:val="000000"/>
                      <w:sz w:val="15"/>
                    </w:rPr>
                    <w:t>.</w:t>
                  </w:r>
                </w:p>
                <w:bookmarkEnd w:id="140"/>
              </w:tc>
            </w:tr>
          </w:tbl>
          <w:p>
            <w:pPr>
              <w:spacing/>
              <w:ind w:left="0"/>
              <w:jc w:val="left"/>
            </w:pPr>
            <w:r>
              <w:br/>
            </w:r>
          </w:p>
        </w:tc>
      </w:tr>
    </w:tbl>
    <w:p>
      <w:pPr>
        <w:spacing/>
        <w:ind w:left="0"/>
        <w:jc w:val="left"/>
      </w:pPr>
      <w:r>
        <w:br/>
      </w:r>
    </w:p>
    <w:bookmarkStart w:name="158" w:id="141"/>
    <w:p>
      <w:pPr>
        <w:spacing w:after="0"/>
        <w:ind w:firstLine="240"/>
        <w:jc w:val="left"/>
      </w:pPr>
      <w:r>
        <w:rPr>
          <w:rFonts w:ascii="Arial"/>
          <w:b w:val="false"/>
          <w:i w:val="false"/>
          <w:color w:val="000000"/>
          <w:sz w:val="18"/>
        </w:rPr>
        <w:t>4. Дані нормативної грошової оцінки засміченої земельної ділянки беруться з будь-яких джерел, при цьому:</w:t>
      </w:r>
    </w:p>
    <w:bookmarkEnd w:id="141"/>
    <w:bookmarkStart w:name="144" w:id="142"/>
    <w:p>
      <w:pPr>
        <w:spacing w:after="0"/>
        <w:ind w:firstLine="240"/>
        <w:jc w:val="left"/>
      </w:pPr>
      <w:r>
        <w:rPr>
          <w:rFonts w:ascii="Arial"/>
          <w:b w:val="false"/>
          <w:i w:val="false"/>
          <w:color w:val="000000"/>
          <w:sz w:val="18"/>
        </w:rPr>
        <w:t>1) щодо земельних ділянок, грошова оцінка яких не проведена, або у випадку неможливості отримання даних з нормативної грошової оцінки засміченої земельної ділянки, Гоз розраховується як середня нормативна грошова оцінка площі ріллі по Автономній Республіці Крим або по області (для міста Києва використовується середня нормативна грошова оцінка площі ріллі по Київській області), помноженої на коефіцієнт, що зумовив негативні екологічні наслідки для родючості ґрунтів, який дорівнює 300;</w:t>
      </w:r>
    </w:p>
    <w:bookmarkEnd w:id="142"/>
    <w:bookmarkStart w:name="145" w:id="143"/>
    <w:p>
      <w:pPr>
        <w:spacing w:after="0"/>
        <w:ind w:firstLine="240"/>
        <w:jc w:val="left"/>
      </w:pPr>
      <w:r>
        <w:rPr>
          <w:rFonts w:ascii="Arial"/>
          <w:b w:val="false"/>
          <w:i w:val="false"/>
          <w:color w:val="000000"/>
          <w:sz w:val="18"/>
        </w:rPr>
        <w:t>2) розрахована за підпунктом 1 цього пункту грошова оцінка використовується в формулі даного розділу замість нормативної грошової оцінки земельної ділянки (Гоз).</w:t>
      </w:r>
    </w:p>
    <w:bookmarkEnd w:id="143"/>
    <w:bookmarkStart w:name="146" w:id="144"/>
    <w:p>
      <w:pPr>
        <w:spacing w:after="0"/>
        <w:ind w:firstLine="240"/>
        <w:jc w:val="left"/>
      </w:pPr>
      <w:r>
        <w:rPr>
          <w:rFonts w:ascii="Arial"/>
          <w:b w:val="false"/>
          <w:i w:val="false"/>
          <w:color w:val="000000"/>
          <w:sz w:val="18"/>
        </w:rPr>
        <w:t xml:space="preserve">5. Значення коефіцієнта засмічення земельної ділянки (Кзз) приймається за ступенем її засмічення, визначеного в залежності від об'єму відходів, згідно з </w:t>
      </w:r>
      <w:r>
        <w:rPr>
          <w:rFonts w:ascii="Arial"/>
          <w:b w:val="false"/>
          <w:i w:val="false"/>
          <w:color w:val="000000"/>
          <w:sz w:val="18"/>
        </w:rPr>
        <w:t>додатком 5 до Методики 171</w:t>
      </w:r>
      <w:r>
        <w:rPr>
          <w:rFonts w:ascii="Arial"/>
          <w:b w:val="false"/>
          <w:i w:val="false"/>
          <w:color w:val="000000"/>
          <w:sz w:val="18"/>
        </w:rPr>
        <w:t>.</w:t>
      </w:r>
    </w:p>
    <w:bookmarkEnd w:id="144"/>
    <w:bookmarkStart w:name="147" w:id="145"/>
    <w:p>
      <w:pPr>
        <w:spacing w:after="0"/>
        <w:ind w:firstLine="240"/>
        <w:jc w:val="left"/>
      </w:pPr>
      <w:r>
        <w:rPr>
          <w:rFonts w:ascii="Arial"/>
          <w:b w:val="false"/>
          <w:i w:val="false"/>
          <w:color w:val="000000"/>
          <w:sz w:val="18"/>
        </w:rPr>
        <w:t>Для земель, що засмічені багатотонажними (&gt;10000 т) відходами гірничодобувної промисловості, коефіцієнт засмічення земельної ділянки (Кзз) приймається рівним 1,0.</w:t>
      </w:r>
    </w:p>
    <w:bookmarkEnd w:id="145"/>
    <w:bookmarkStart w:name="148" w:id="146"/>
    <w:p>
      <w:pPr>
        <w:spacing w:after="0"/>
        <w:ind w:firstLine="240"/>
        <w:jc w:val="left"/>
      </w:pPr>
      <w:r>
        <w:rPr>
          <w:rFonts w:ascii="Arial"/>
          <w:b w:val="false"/>
          <w:i w:val="false"/>
          <w:color w:val="000000"/>
          <w:sz w:val="18"/>
        </w:rPr>
        <w:t xml:space="preserve">6. Значення коефіцієнта еколого-господарського значення земель (Кег) приймається відповідно до категорії земель, що зазнали засмічення, або їх статусу як таких, що підлягають особливій охороні, згідно з </w:t>
      </w:r>
      <w:r>
        <w:rPr>
          <w:rFonts w:ascii="Arial"/>
          <w:b w:val="false"/>
          <w:i w:val="false"/>
          <w:color w:val="000000"/>
          <w:sz w:val="18"/>
        </w:rPr>
        <w:t>додатком 2 до Методики 171</w:t>
      </w:r>
      <w:r>
        <w:rPr>
          <w:rFonts w:ascii="Arial"/>
          <w:b w:val="false"/>
          <w:i w:val="false"/>
          <w:color w:val="000000"/>
          <w:sz w:val="18"/>
        </w:rPr>
        <w:t>.</w:t>
      </w:r>
    </w:p>
    <w:bookmarkEnd w:id="146"/>
    <w:bookmarkStart w:name="149" w:id="147"/>
    <w:p>
      <w:pPr>
        <w:spacing w:after="0"/>
        <w:ind w:firstLine="240"/>
        <w:jc w:val="left"/>
      </w:pPr>
      <w:r>
        <w:rPr>
          <w:rFonts w:ascii="Arial"/>
          <w:b w:val="false"/>
          <w:i w:val="false"/>
          <w:color w:val="000000"/>
          <w:sz w:val="18"/>
        </w:rPr>
        <w:t>Якщо за шкалою еколого-господарського значення земель (</w:t>
      </w:r>
      <w:r>
        <w:rPr>
          <w:rFonts w:ascii="Arial"/>
          <w:b w:val="false"/>
          <w:i w:val="false"/>
          <w:color w:val="000000"/>
          <w:sz w:val="18"/>
        </w:rPr>
        <w:t>додаток 2 до Методики 171</w:t>
      </w:r>
      <w:r>
        <w:rPr>
          <w:rFonts w:ascii="Arial"/>
          <w:b w:val="false"/>
          <w:i w:val="false"/>
          <w:color w:val="000000"/>
          <w:sz w:val="18"/>
        </w:rPr>
        <w:t>) земельна ділянка, що зазнала засмічення, може бути класифікована за декількома категоріями земель чи особливостями охорони, для розрахунків обирається коефіцієнт еколого-господарського значення земель (Кег) з максимальним значенням серед відповідних коефіцієнтів.</w:t>
      </w:r>
    </w:p>
    <w:bookmarkEnd w:id="147"/>
    <w:bookmarkStart w:name="150" w:id="148"/>
    <w:p>
      <w:pPr>
        <w:spacing w:after="0"/>
        <w:ind w:firstLine="240"/>
        <w:jc w:val="left"/>
      </w:pPr>
      <w:r>
        <w:rPr>
          <w:rFonts w:ascii="Arial"/>
          <w:b w:val="false"/>
          <w:i w:val="false"/>
          <w:color w:val="000000"/>
          <w:sz w:val="18"/>
        </w:rPr>
        <w:t xml:space="preserve">7. Форма розрахунку наведена в </w:t>
      </w:r>
      <w:r>
        <w:rPr>
          <w:rFonts w:ascii="Arial"/>
          <w:b w:val="false"/>
          <w:i w:val="false"/>
          <w:color w:val="000000"/>
          <w:sz w:val="18"/>
        </w:rPr>
        <w:t>додатку 7 до Методики 171</w:t>
      </w:r>
      <w:r>
        <w:rPr>
          <w:rFonts w:ascii="Arial"/>
          <w:b w:val="false"/>
          <w:i w:val="false"/>
          <w:color w:val="000000"/>
          <w:sz w:val="18"/>
        </w:rPr>
        <w:t>.</w:t>
      </w:r>
    </w:p>
    <w:bookmarkEnd w:id="148"/>
    <w:bookmarkStart w:name="151" w:id="149"/>
    <w:p>
      <w:pPr>
        <w:pStyle w:val="Heading3"/>
        <w:spacing w:after="0"/>
        <w:ind w:left="0"/>
        <w:jc w:val="center"/>
      </w:pPr>
      <w:r>
        <w:rPr>
          <w:rFonts w:ascii="Arial"/>
          <w:color w:val="000000"/>
          <w:sz w:val="27"/>
        </w:rPr>
        <w:t>V. Використання розрахунків розміру шкоди, заподіяної внаслідок забруднення ґрунтів та засмічення земель</w:t>
      </w:r>
    </w:p>
    <w:bookmarkEnd w:id="149"/>
    <w:bookmarkStart w:name="152" w:id="150"/>
    <w:p>
      <w:pPr>
        <w:spacing w:after="0"/>
        <w:ind w:firstLine="240"/>
        <w:jc w:val="left"/>
      </w:pPr>
      <w:r>
        <w:rPr>
          <w:rFonts w:ascii="Arial"/>
          <w:b w:val="false"/>
          <w:i w:val="false"/>
          <w:color w:val="000000"/>
          <w:sz w:val="18"/>
        </w:rPr>
        <w:t>1. Всі матеріали, які використовувалися для проведення розрахунку, формуються в окрему справу, яка зберігається в уповноваженому органі, що здійснює державний нагляд (контроль) за додержанням вимог законодавства про охорону навколишнього природного середовища.</w:t>
      </w:r>
    </w:p>
    <w:bookmarkEnd w:id="150"/>
    <w:bookmarkStart w:name="153" w:id="151"/>
    <w:p>
      <w:pPr>
        <w:spacing w:after="0"/>
        <w:ind w:firstLine="240"/>
        <w:jc w:val="left"/>
      </w:pPr>
      <w:r>
        <w:rPr>
          <w:rFonts w:ascii="Arial"/>
          <w:b w:val="false"/>
          <w:i w:val="false"/>
          <w:color w:val="000000"/>
          <w:sz w:val="18"/>
        </w:rPr>
        <w:t>2. Уповноважений орган, що здійснює державний нагляд (контроль) за додержанням вимог законодавства про охорону навколишнього природного середовища, має право надавати копії розрахунків разом зі справою органам державної влади, місцевого самоврядування та правоохоронними органам.</w:t>
      </w:r>
    </w:p>
    <w:bookmarkEnd w:id="151"/>
    <w:bookmarkStart w:name="154" w:id="152"/>
    <w:p>
      <w:pPr>
        <w:spacing w:after="0"/>
        <w:ind w:firstLine="240"/>
        <w:jc w:val="left"/>
      </w:pPr>
      <w:r>
        <w:rPr>
          <w:rFonts w:ascii="Arial"/>
          <w:b w:val="false"/>
          <w:i w:val="false"/>
          <w:color w:val="000000"/>
          <w:sz w:val="18"/>
        </w:rPr>
        <w:t xml:space="preserve"> </w:t>
      </w:r>
    </w:p>
    <w:bookmarkEnd w:id="15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55" w:id="153"/>
          <w:p>
            <w:pPr>
              <w:spacing w:after="0"/>
              <w:ind w:left="0"/>
              <w:jc w:val="center"/>
            </w:pPr>
            <w:r>
              <w:rPr>
                <w:rFonts w:ascii="Arial"/>
                <w:b/>
                <w:i w:val="false"/>
                <w:color w:val="000000"/>
                <w:sz w:val="15"/>
              </w:rPr>
              <w:t>Заступник директора Департаменту -</w:t>
            </w:r>
            <w:r>
              <w:br/>
            </w:r>
            <w:r>
              <w:rPr>
                <w:rFonts w:ascii="Arial"/>
                <w:b/>
                <w:i w:val="false"/>
                <w:color w:val="000000"/>
                <w:sz w:val="15"/>
              </w:rPr>
              <w:t>начальник відділу формування</w:t>
            </w:r>
            <w:r>
              <w:br/>
            </w:r>
            <w:r>
              <w:rPr>
                <w:rFonts w:ascii="Arial"/>
                <w:b/>
                <w:i w:val="false"/>
                <w:color w:val="000000"/>
                <w:sz w:val="15"/>
              </w:rPr>
              <w:t>державної політики в сфері</w:t>
            </w:r>
            <w:r>
              <w:br/>
            </w:r>
            <w:r>
              <w:rPr>
                <w:rFonts w:ascii="Arial"/>
                <w:b/>
                <w:i w:val="false"/>
                <w:color w:val="000000"/>
                <w:sz w:val="15"/>
              </w:rPr>
              <w:t>екологічного контролю Департаменту</w:t>
            </w:r>
            <w:r>
              <w:br/>
            </w:r>
            <w:r>
              <w:rPr>
                <w:rFonts w:ascii="Arial"/>
                <w:b/>
                <w:i w:val="false"/>
                <w:color w:val="000000"/>
                <w:sz w:val="15"/>
              </w:rPr>
              <w:t>екологічної оцінки, контролю</w:t>
            </w:r>
            <w:r>
              <w:br/>
            </w:r>
            <w:r>
              <w:rPr>
                <w:rFonts w:ascii="Arial"/>
                <w:b/>
                <w:i w:val="false"/>
                <w:color w:val="000000"/>
                <w:sz w:val="15"/>
              </w:rPr>
              <w:t>та екологічних фінансів</w:t>
            </w:r>
          </w:p>
          <w:bookmarkEnd w:id="153"/>
        </w:tc>
        <w:tc>
          <w:tcPr>
            <w:tcW w:w="4845" w:type="dxa"/>
            <w:tcBorders/>
            <w:vAlign w:val="center"/>
          </w:tcPr>
          <w:bookmarkStart w:name="156" w:id="154"/>
          <w:p>
            <w:pPr>
              <w:spacing w:after="0"/>
              <w:ind w:left="0"/>
              <w:jc w:val="center"/>
            </w:pPr>
            <w:r>
              <w:rPr>
                <w:rFonts w:ascii="Arial"/>
                <w:b/>
                <w:i w:val="false"/>
                <w:color w:val="000000"/>
                <w:sz w:val="15"/>
              </w:rPr>
              <w:t>Лада КОТЯШ</w:t>
            </w:r>
          </w:p>
          <w:bookmarkEnd w:id="154"/>
        </w:tc>
      </w:tr>
    </w:tbl>
    <w:p>
      <w:pPr>
        <w:spacing/>
        <w:ind w:left="0"/>
        <w:jc w:val="left"/>
      </w:pPr>
      <w:r>
        <w:br/>
      </w:r>
    </w:p>
    <w:bookmarkStart w:name="157" w:id="155"/>
    <w:p>
      <w:pPr>
        <w:spacing w:after="0"/>
        <w:ind w:firstLine="240"/>
        <w:jc w:val="left"/>
      </w:pPr>
    </w:p>
    <w:bookmarkEnd w:id="155"/>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