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image/gif" PartName="/word/media/document_image_rId4.gif"/>
  <Override ContentType="image/png" PartName="/word/media/document_image_rId5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f1bc" w14:textId="bc2f1bc">
      <w:pPr>
        <w:shd w:fill="ffffff"/>
        <w:spacing w:after="120"/>
        <w:ind w:left="120"/>
        <w:jc w:val="left"/>
        <w15:collapsed w:val="false"/>
      </w:pPr>
    </w:p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96"/>
        <w:gridCol w:w="1954"/>
      </w:tblGrid>
      <w:tr>
        <w:trPr>
          <w:trHeight w:val="30" w:hRule="atLeast"/>
        </w:trPr>
        <w:tc>
          <w:tcPr>
            <w:tcW w:w="7696" w:type="dxa"/>
            <w:tcBorders/>
            <w:vAlign w:val="center"/>
          </w:tcPr>
          <w:p/>
        </w:tc>
        <w:tc>
          <w:tcPr>
            <w:tcW w:w="1954" w:type="dxa"/>
            <w:tcBorders/>
            <w:vAlign w:val="center"/>
          </w:tcPr>
          <w:p>
            <w:r>
              <w:drawing>
                <wp:inline distT="0" distB="0" distL="0" distR="0">
                  <wp:extent cx="27432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bookmarkStart w:name="1" w:id="0"/>
    <w:p>
      <w:pPr>
        <w:spacing w:after="0"/>
        <w:ind w:left="0"/>
        <w:jc w:val="center"/>
      </w:pPr>
      <w:r>
        <w:drawing>
          <wp:inline distT="0" distB="0" distL="0" distR="0">
            <wp:extent cx="7112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Start w:name="2" w:id="1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МІНІСТЕРСТВО РОЗВИТКУ ЕКОНОМІКИ, ТОРГІВЛІ ТА СІЛЬСЬКОГО ГОСПОДАРСТВА УКРАЇНИ</w:t>
      </w:r>
    </w:p>
    <w:bookmarkEnd w:id="1"/>
    <w:bookmarkStart w:name="3" w:id="2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НАКАЗ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92"/>
        <w:gridCol w:w="2907"/>
        <w:gridCol w:w="3391"/>
      </w:tblGrid>
      <w:tr>
        <w:trPr>
          <w:trHeight w:val="30" w:hRule="atLeast"/>
        </w:trPr>
        <w:tc>
          <w:tcPr>
            <w:tcW w:w="3392" w:type="dxa"/>
            <w:tcBorders/>
            <w:vAlign w:val="top"/>
          </w:tcPr>
          <w:bookmarkStart w:name="4" w:id="3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10.08.2020</w:t>
            </w:r>
          </w:p>
          <w:bookmarkEnd w:id="3"/>
        </w:tc>
        <w:tc>
          <w:tcPr>
            <w:tcW w:w="2907" w:type="dxa"/>
            <w:tcBorders/>
            <w:vAlign w:val="top"/>
          </w:tcPr>
          <w:bookmarkStart w:name="5" w:id="4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м. Київ</w:t>
            </w:r>
          </w:p>
          <w:bookmarkEnd w:id="4"/>
        </w:tc>
        <w:tc>
          <w:tcPr>
            <w:tcW w:w="3391" w:type="dxa"/>
            <w:tcBorders/>
            <w:vAlign w:val="top"/>
          </w:tcPr>
          <w:bookmarkStart w:name="6" w:id="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N 1518</w:t>
            </w:r>
          </w:p>
          <w:bookmarkEnd w:id="5"/>
        </w:tc>
      </w:tr>
    </w:tbl>
    <w:p>
      <w:pPr>
        <w:spacing/>
        <w:ind w:left="0"/>
        <w:jc w:val="left"/>
      </w:pPr>
      <w:r>
        <w:br/>
      </w:r>
    </w:p>
    <w:bookmarkStart w:name="7" w:id="6"/>
    <w:p>
      <w:pPr>
        <w:spacing w:after="0"/>
        <w:ind w:left="0"/>
        <w:jc w:val="center"/>
      </w:pPr>
      <w:r>
        <w:rPr>
          <w:rFonts w:ascii="Arial"/>
          <w:b/>
          <w:i w:val="false"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/>
          <w:b/>
          <w:i w:val="false"/>
          <w:color w:val="000000"/>
          <w:sz w:val="18"/>
        </w:rPr>
        <w:t>13 жовтня 2020 р. за N 1000/35283</w:t>
      </w:r>
    </w:p>
    <w:bookmarkEnd w:id="6"/>
    <w:bookmarkStart w:name="8" w:id="7"/>
    <w:p>
      <w:pPr>
        <w:pStyle w:val="Heading2"/>
        <w:spacing w:after="0"/>
        <w:ind w:left="0"/>
        <w:jc w:val="center"/>
      </w:pPr>
      <w:r>
        <w:rPr>
          <w:rFonts w:ascii="Arial"/>
          <w:color w:val="000000"/>
          <w:sz w:val="27"/>
        </w:rPr>
        <w:t>Про затвердження Порядку калібрування вторинних та робочих еталонів</w:t>
      </w:r>
    </w:p>
    <w:bookmarkEnd w:id="7"/>
    <w:bookmarkStart w:name="9" w:id="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Відповідно до </w:t>
      </w:r>
      <w:r>
        <w:rPr>
          <w:rFonts w:ascii="Arial"/>
          <w:b w:val="false"/>
          <w:i w:val="false"/>
          <w:color w:val="000000"/>
          <w:sz w:val="18"/>
        </w:rPr>
        <w:t>частини другої статті 27 Закону України "Про метрологію та метрологічну діяльність"</w:t>
      </w:r>
    </w:p>
    <w:bookmarkEnd w:id="8"/>
    <w:bookmarkStart w:name="10" w:id="9"/>
    <w:p>
      <w:pPr>
        <w:spacing w:after="0"/>
        <w:ind w:firstLine="240"/>
        <w:jc w:val="left"/>
      </w:pPr>
      <w:r>
        <w:rPr>
          <w:rFonts w:ascii="Arial"/>
          <w:b/>
          <w:i w:val="false"/>
          <w:color w:val="000000"/>
          <w:sz w:val="18"/>
        </w:rPr>
        <w:t>НАКАЗУЮ:</w:t>
      </w:r>
    </w:p>
    <w:bookmarkEnd w:id="9"/>
    <w:bookmarkStart w:name="11" w:id="1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Затвердити Порядок калібрування вторинних та робочих еталонів, що додається.</w:t>
      </w:r>
    </w:p>
    <w:bookmarkEnd w:id="10"/>
    <w:bookmarkStart w:name="12" w:id="1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Департаменту технічного регулювання та метрології в установленому законодавством порядку подати цей наказ на державну реєстрацію до Міністерства юстиції України.</w:t>
      </w:r>
    </w:p>
    <w:bookmarkEnd w:id="11"/>
    <w:bookmarkStart w:name="13" w:id="1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Цей наказ набирає чинності з дня його офіційного опублікування.</w:t>
      </w:r>
    </w:p>
    <w:bookmarkEnd w:id="12"/>
    <w:bookmarkStart w:name="14" w:id="1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4. Контроль за виконанням цього наказу покласти на заступника Міністра розвитку економіки, торгівлі та сільського господарства України згідно з розподілом обов'язків.</w:t>
      </w:r>
    </w:p>
    <w:bookmarkEnd w:id="13"/>
    <w:bookmarkStart w:name="15" w:id="1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120" w:hRule="atLeast"/>
        </w:trPr>
        <w:tc>
          <w:tcPr>
            <w:tcW w:w="4845" w:type="dxa"/>
            <w:tcBorders/>
            <w:vAlign w:val="bottom"/>
          </w:tcPr>
          <w:bookmarkStart w:name="16" w:id="1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Міністр</w:t>
            </w:r>
          </w:p>
          <w:bookmarkEnd w:id="15"/>
        </w:tc>
        <w:tc>
          <w:tcPr>
            <w:tcW w:w="4845" w:type="dxa"/>
            <w:tcBorders/>
            <w:vAlign w:val="bottom"/>
          </w:tcPr>
          <w:bookmarkStart w:name="17" w:id="1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І. Петрашко</w:t>
            </w:r>
          </w:p>
          <w:bookmarkEnd w:id="16"/>
        </w:tc>
      </w:tr>
      <w:tr>
        <w:trPr>
          <w:trHeight w:val="120" w:hRule="atLeast"/>
        </w:trPr>
        <w:tc>
          <w:tcPr>
            <w:tcW w:w="4845" w:type="dxa"/>
            <w:tcBorders/>
            <w:vAlign w:val="bottom"/>
          </w:tcPr>
          <w:bookmarkStart w:name="18" w:id="17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ПОГОДЖЕНО:</w:t>
            </w:r>
          </w:p>
          <w:bookmarkEnd w:id="17"/>
        </w:tc>
        <w:tc>
          <w:tcPr>
            <w:tcW w:w="4845" w:type="dxa"/>
            <w:tcBorders/>
            <w:vAlign w:val="bottom"/>
          </w:tcPr>
          <w:bookmarkStart w:name="19" w:id="1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8"/>
        </w:tc>
      </w:tr>
      <w:tr>
        <w:trPr>
          <w:trHeight w:val="120" w:hRule="atLeast"/>
        </w:trPr>
        <w:tc>
          <w:tcPr>
            <w:tcW w:w="4845" w:type="dxa"/>
            <w:tcBorders/>
            <w:vAlign w:val="bottom"/>
          </w:tcPr>
          <w:bookmarkStart w:name="20" w:id="19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В. о. Голови Державної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регуляторної служби України</w:t>
            </w:r>
          </w:p>
          <w:bookmarkEnd w:id="19"/>
        </w:tc>
        <w:tc>
          <w:tcPr>
            <w:tcW w:w="4845" w:type="dxa"/>
            <w:tcBorders/>
            <w:vAlign w:val="bottom"/>
          </w:tcPr>
          <w:bookmarkStart w:name="21" w:id="20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В. Загородній</w:t>
            </w:r>
          </w:p>
          <w:bookmarkEnd w:id="20"/>
        </w:tc>
      </w:tr>
    </w:tbl>
    <w:p>
      <w:pPr>
        <w:spacing/>
        <w:ind w:left="0"/>
        <w:jc w:val="left"/>
      </w:pPr>
      <w:r>
        <w:br/>
      </w:r>
    </w:p>
    <w:bookmarkStart w:name="22" w:id="2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21"/>
    <w:bookmarkStart w:name="23" w:id="22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ЗАТВЕРДЖЕНО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Наказ Міністерства розвитку економіки, торгівлі та сільського господарства України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10 серпня 2020 року N 1518</w:t>
      </w:r>
    </w:p>
    <w:bookmarkEnd w:id="22"/>
    <w:bookmarkStart w:name="24" w:id="23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ПОРЯДОК</w:t>
      </w:r>
      <w:r>
        <w:br/>
      </w:r>
      <w:r>
        <w:rPr>
          <w:rFonts w:ascii="Arial"/>
          <w:color w:val="000000"/>
          <w:sz w:val="27"/>
        </w:rPr>
        <w:t>калібрування вторинних та робочих еталонів</w:t>
      </w:r>
    </w:p>
    <w:bookmarkEnd w:id="23"/>
    <w:bookmarkStart w:name="25" w:id="24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I. Загальні положення</w:t>
      </w:r>
    </w:p>
    <w:bookmarkEnd w:id="24"/>
    <w:bookmarkStart w:name="26" w:id="2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Цей Порядок установлює процедуру та умови калібрування вторинних та робочих еталонів, які використовують під час повірки засобів вимірювальної техніки, що перебувають в експлуатації та застосовуються у сфері законодавчо регульованої метрології (далі - повірка засобів вимірювальної техніки), і оформлення його результатів.</w:t>
      </w:r>
    </w:p>
    <w:bookmarkEnd w:id="25"/>
    <w:bookmarkStart w:name="27" w:id="2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Дія цього Порядку поширюється на:</w:t>
      </w:r>
    </w:p>
    <w:bookmarkEnd w:id="26"/>
    <w:bookmarkStart w:name="28" w:id="2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наукові метрологічні центри;</w:t>
      </w:r>
    </w:p>
    <w:bookmarkEnd w:id="27"/>
    <w:bookmarkStart w:name="29" w:id="2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державні підприємства, які належать до сфери управління Мінекономіки та провадять метрологічну діяльність (далі - метрологічні центри);</w:t>
      </w:r>
    </w:p>
    <w:bookmarkEnd w:id="28"/>
    <w:bookmarkStart w:name="30" w:id="2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повірочні лабораторії, які уповноважуються або уповноважені на проведення повірки засобів вимірювальної техніки, що перебувають в експлуатації;</w:t>
      </w:r>
    </w:p>
    <w:bookmarkEnd w:id="29"/>
    <w:bookmarkStart w:name="31" w:id="3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калібрувальні лабораторії, акредитовані національним органом України з акредитації.</w:t>
      </w:r>
    </w:p>
    <w:bookmarkEnd w:id="30"/>
    <w:bookmarkStart w:name="32" w:id="3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Калібрування вторинних еталонів проводять із застосуванням первинного еталона для величини того самого роду.</w:t>
      </w:r>
    </w:p>
    <w:bookmarkEnd w:id="31"/>
    <w:bookmarkStart w:name="33" w:id="3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4. Еталони, які використовуються для повірки засобів вимірювальної техніки, у тому числі вторинні, є робочими еталонами (далі - робочі еталони).</w:t>
      </w:r>
    </w:p>
    <w:bookmarkEnd w:id="32"/>
    <w:bookmarkStart w:name="34" w:id="3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5. У цьому Порядку терміни вживаються у значеннях, наведених у </w:t>
      </w:r>
      <w:r>
        <w:rPr>
          <w:rFonts w:ascii="Arial"/>
          <w:b w:val="false"/>
          <w:i w:val="false"/>
          <w:color w:val="000000"/>
          <w:sz w:val="18"/>
        </w:rPr>
        <w:t>Законах України "Про метрологію та метрологічну діяльність"</w:t>
      </w:r>
      <w:r>
        <w:rPr>
          <w:rFonts w:ascii="Arial"/>
          <w:b w:val="false"/>
          <w:i w:val="false"/>
          <w:color w:val="000000"/>
          <w:sz w:val="18"/>
        </w:rPr>
        <w:t xml:space="preserve"> та </w:t>
      </w:r>
      <w:r>
        <w:rPr>
          <w:rFonts w:ascii="Arial"/>
          <w:b w:val="false"/>
          <w:i w:val="false"/>
          <w:color w:val="000000"/>
          <w:sz w:val="18"/>
        </w:rPr>
        <w:t>"Про акредитацію органів з оцінки відповідності"</w:t>
      </w:r>
      <w:r>
        <w:rPr>
          <w:rFonts w:ascii="Arial"/>
          <w:b w:val="false"/>
          <w:i w:val="false"/>
          <w:color w:val="000000"/>
          <w:sz w:val="18"/>
        </w:rPr>
        <w:t>.</w:t>
      </w:r>
    </w:p>
    <w:bookmarkEnd w:id="33"/>
    <w:bookmarkStart w:name="35" w:id="34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II. Проведення калібрування робочих еталонів</w:t>
      </w:r>
    </w:p>
    <w:bookmarkEnd w:id="34"/>
    <w:bookmarkStart w:name="36" w:id="3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Калібрування робочих еталонів проводиться:</w:t>
      </w:r>
    </w:p>
    <w:bookmarkEnd w:id="35"/>
    <w:bookmarkStart w:name="37" w:id="3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науковими метрологічними центрами, які мають міжнародно визнані калібрувальні та вимірювальні можливості за відповідними видами та підвидами вимірювань із застосуванням національних еталонів;</w:t>
      </w:r>
    </w:p>
    <w:bookmarkEnd w:id="36"/>
    <w:bookmarkStart w:name="38" w:id="3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науковими метрологічними центрами, метрологічними центрами, калібрувальними лабораторіями, акредитованими національним органом України з акредитації.</w:t>
      </w:r>
    </w:p>
    <w:bookmarkEnd w:id="37"/>
    <w:bookmarkStart w:name="39" w:id="3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Для калібрування робочих еталонів наукові метрологічні центри, які мають міжнародно визнані калібрувальні та вимірювальні можливості за відповідними видами та підвидами вимірювань; наукові метрологічні центри, метрологічні центри та калібрувальні лабораторії, акредитовані національним органом України з акредитації (далі - виконавці) повинні визначити та задокументувати власні можливості щодо їх калібрування - діапазони вимірювань з установленими значеннями розширеної невизначеності (далі - калібрувальні можливості).</w:t>
      </w:r>
    </w:p>
    <w:bookmarkEnd w:id="38"/>
    <w:bookmarkStart w:name="40" w:id="3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Калібрувальні можливості визначають на підставі:</w:t>
      </w:r>
    </w:p>
    <w:bookmarkEnd w:id="39"/>
    <w:bookmarkStart w:name="41" w:id="4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наявних міжнародно визнаних калібрувальних та вимірювальних можливостей за відповідними видами та підвидами вимірювань виконавця;</w:t>
      </w:r>
    </w:p>
    <w:bookmarkEnd w:id="40"/>
    <w:bookmarkStart w:name="42" w:id="4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сфери акредитації виконавця.</w:t>
      </w:r>
    </w:p>
    <w:bookmarkEnd w:id="41"/>
    <w:bookmarkStart w:name="43" w:id="4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3. Виконавці розміщують інформацію щодо калібрувальних можливостей на своїх офіційних вебсайтах.</w:t>
      </w:r>
    </w:p>
    <w:bookmarkEnd w:id="42"/>
    <w:bookmarkStart w:name="44" w:id="4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Інформація повинна містити:</w:t>
      </w:r>
    </w:p>
    <w:bookmarkEnd w:id="43"/>
    <w:bookmarkStart w:name="45" w:id="4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назву та умовне позначення робочого еталона (об'єкт калібрування);</w:t>
      </w:r>
    </w:p>
    <w:bookmarkEnd w:id="44"/>
    <w:bookmarkStart w:name="46" w:id="4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діапазон вимірювання величини;</w:t>
      </w:r>
    </w:p>
    <w:bookmarkEnd w:id="45"/>
    <w:bookmarkStart w:name="47" w:id="4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значення розширеної невизначеності (діапазон розширеної невизначеності) вимірювання;</w:t>
      </w:r>
    </w:p>
    <w:bookmarkEnd w:id="46"/>
    <w:bookmarkStart w:name="48" w:id="4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найменування методики калібрування, що застосовується.</w:t>
      </w:r>
    </w:p>
    <w:bookmarkEnd w:id="47"/>
    <w:bookmarkStart w:name="49" w:id="4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4. Калібрування робочих еталонів проводиться згідно з методиками калібрування, які містяться в національних стандартах або розроблені виконавцями з урахуванням національних стандартів, гармонізованих з відповідними міжнародними та європейськими стандартами, та документів, прийнятих міжнародними та регіональними організаціями з метрології.</w:t>
      </w:r>
    </w:p>
    <w:bookmarkEnd w:id="48"/>
    <w:bookmarkStart w:name="50" w:id="4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Переліки методик калібрування робочих еталонів розміщуються на офіційних вебсайтах виконавців.</w:t>
      </w:r>
    </w:p>
    <w:bookmarkEnd w:id="49"/>
    <w:bookmarkStart w:name="51" w:id="5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5. Якщо для калібрування робочого еталона використовують еталони різних величин, кожен із цих еталонів повинен мати документ про калібрування з інформацією щодо метрологічної простежуваності.</w:t>
      </w:r>
    </w:p>
    <w:bookmarkEnd w:id="50"/>
    <w:bookmarkStart w:name="52" w:id="5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6. Робочі еталони необхідно калібрувати щорічно, крім робочих еталонів міжкалібрувальні інтервали яких наведено в додатку до цього Порядку.</w:t>
      </w:r>
    </w:p>
    <w:bookmarkEnd w:id="51"/>
    <w:bookmarkStart w:name="53" w:id="5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Перегляд міжкалібрувальних інтервалів робочих еталонів, затверджених цим наказом, здійснюється за поданням наукових метрологічних центрів не рідше одного разу на п'ять років.</w:t>
      </w:r>
    </w:p>
    <w:bookmarkEnd w:id="52"/>
    <w:bookmarkStart w:name="54" w:id="5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7. Після ремонту або вдосконалення робочий еталон може застосовуватися лише після проведення його калібрування.</w:t>
      </w:r>
    </w:p>
    <w:bookmarkEnd w:id="53"/>
    <w:bookmarkStart w:name="55" w:id="5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8. Під час калібрування робочих еталонів необхідно дотримуватися меж діапазону, визначеного калібрувальними можливостями виконавця.</w:t>
      </w:r>
    </w:p>
    <w:bookmarkEnd w:id="54"/>
    <w:bookmarkStart w:name="56" w:id="5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9. Для проведення калібрування робочого еталона науковий метрологічний центр, метрологічний центр, повірочна лабораторія (далі - замовник) подає виконавцю заявку, у якій зазначає таку інформацію:</w:t>
      </w:r>
    </w:p>
    <w:bookmarkEnd w:id="55"/>
    <w:bookmarkStart w:name="57" w:id="5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об'єкт калібрування, що надається на калібрування;</w:t>
      </w:r>
    </w:p>
    <w:bookmarkEnd w:id="56"/>
    <w:bookmarkStart w:name="58" w:id="5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діапазон вимірювання або значення величин точок вимірювання та максимальне значення розширеної невизначеності вимірювання для цих діапазону або точок. Якщо в робочому еталоні реалізовано декілька методів вимірювання, про це обов'язково зазначається в заявці;</w:t>
      </w:r>
    </w:p>
    <w:bookmarkEnd w:id="57"/>
    <w:bookmarkStart w:name="59" w:id="5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найменування методики калібрування, відповідно до якої необхідно провести калібрування робочого еталона (за потреби);</w:t>
      </w:r>
    </w:p>
    <w:bookmarkEnd w:id="58"/>
    <w:bookmarkStart w:name="60" w:id="5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необхідність включення до документа про калібрування інформації щодо відповідності робочого еталона метрологічним вимогам, наведеним замовником (за потреби);</w:t>
      </w:r>
    </w:p>
    <w:bookmarkEnd w:id="59"/>
    <w:bookmarkStart w:name="61" w:id="6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строк проведення калібрування (за потреби), який узгоджується з можливостями виконавця.</w:t>
      </w:r>
    </w:p>
    <w:bookmarkEnd w:id="60"/>
    <w:bookmarkStart w:name="62" w:id="61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III. Умови проведення калібрування робочих еталонів</w:t>
      </w:r>
    </w:p>
    <w:bookmarkEnd w:id="61"/>
    <w:bookmarkStart w:name="63" w:id="6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Калібрування робочих еталонів проводять:</w:t>
      </w:r>
    </w:p>
    <w:bookmarkEnd w:id="62"/>
    <w:bookmarkStart w:name="64" w:id="6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 стаціонарних калібрувальних лабораторіях;</w:t>
      </w:r>
    </w:p>
    <w:bookmarkEnd w:id="63"/>
    <w:bookmarkStart w:name="65" w:id="6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безпосередньо на місці експлуатації.</w:t>
      </w:r>
    </w:p>
    <w:bookmarkEnd w:id="64"/>
    <w:bookmarkStart w:name="66" w:id="6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Умови калібрування робочих еталонів повинні відповідати вимогам, установленим у методиках калібрування.</w:t>
      </w:r>
    </w:p>
    <w:bookmarkEnd w:id="65"/>
    <w:bookmarkStart w:name="67" w:id="6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Виконавці повинні відстежувати, контролювати та реєструвати умови навколишнього середовища відповідно до методик калібрування.</w:t>
      </w:r>
    </w:p>
    <w:bookmarkEnd w:id="66"/>
    <w:bookmarkStart w:name="68" w:id="6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Калібрування робочих еталонів необхідно припинити, якщо умови навколишнього середовища не відповідають вимогам до них, установленим методиками калібрування.</w:t>
      </w:r>
    </w:p>
    <w:bookmarkEnd w:id="67"/>
    <w:bookmarkStart w:name="69" w:id="68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IV. Оформлення результатів калібрування робочих еталонів</w:t>
      </w:r>
    </w:p>
    <w:bookmarkEnd w:id="68"/>
    <w:bookmarkStart w:name="70" w:id="6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1. Результати калібрування робочих еталонів повинні бути задокументовані відповідно до методик калібрування.</w:t>
      </w:r>
    </w:p>
    <w:bookmarkEnd w:id="69"/>
    <w:bookmarkStart w:name="71" w:id="7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2. Документ про калібрування робочого еталона повинен містити таку інформацію:</w:t>
      </w:r>
    </w:p>
    <w:bookmarkEnd w:id="70"/>
    <w:bookmarkStart w:name="72" w:id="7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найменування та адресу виконавця, а також місце проведення калібрування;</w:t>
      </w:r>
    </w:p>
    <w:bookmarkEnd w:id="71"/>
    <w:bookmarkStart w:name="73" w:id="7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серію, номер, нумерацію сторінок та загальну кількість сторінок у ньому;</w:t>
      </w:r>
    </w:p>
    <w:bookmarkEnd w:id="72"/>
    <w:bookmarkStart w:name="74" w:id="7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дату проведення калібрування;</w:t>
      </w:r>
    </w:p>
    <w:bookmarkEnd w:id="73"/>
    <w:bookmarkStart w:name="75" w:id="7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стан робочого еталона, його назву, умовне позначення та заводський номер;</w:t>
      </w:r>
    </w:p>
    <w:bookmarkEnd w:id="74"/>
    <w:bookmarkStart w:name="76" w:id="75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найменування та місцезнаходження замовника;</w:t>
      </w:r>
    </w:p>
    <w:bookmarkEnd w:id="75"/>
    <w:bookmarkStart w:name="77" w:id="76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назву методики калібрування, яка була використана під час калібрування робочого еталона;</w:t>
      </w:r>
    </w:p>
    <w:bookmarkEnd w:id="76"/>
    <w:bookmarkStart w:name="78" w:id="7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докази метрологічної простежуваності: назву та умовне позначення еталона, який використано при калібруванні, дату та номер його документа про калібрування і ким він виданий. У разі калібрування за кількома величинами зазначають інформацію про кожний еталон, який був застосований;</w:t>
      </w:r>
    </w:p>
    <w:bookmarkEnd w:id="77"/>
    <w:bookmarkStart w:name="79" w:id="78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результати калібрування із зазначенням одиниць вимірювання;</w:t>
      </w:r>
    </w:p>
    <w:bookmarkEnd w:id="78"/>
    <w:bookmarkStart w:name="80" w:id="79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умови, за яких проводили калібрування;</w:t>
      </w:r>
    </w:p>
    <w:bookmarkEnd w:id="79"/>
    <w:bookmarkStart w:name="81" w:id="80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розширені невизначеності результатів вимірювання, отриманих під час калібрування, які враховують усі невизначеності вимірювань, отримані через задокументований нерозривний ланцюг калібрувань, кожне з яких робить свій внесок у невизначеність вимірювання;</w:t>
      </w:r>
    </w:p>
    <w:bookmarkEnd w:id="80"/>
    <w:bookmarkStart w:name="82" w:id="81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відповідно до заявки замовника, документ про калібрування може містити висновок щодо відповідності робочого еталона метрологічним вимогам, які зазначив замовник у своїй заявці на калібрування;</w:t>
      </w:r>
    </w:p>
    <w:bookmarkEnd w:id="81"/>
    <w:bookmarkStart w:name="83" w:id="82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ім'я, прізвище, посаду та підпис особи (осіб), що проводила(и) калібрування робочого еталона;</w:t>
      </w:r>
    </w:p>
    <w:bookmarkEnd w:id="82"/>
    <w:bookmarkStart w:name="84" w:id="83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>ім'я, прізвище, посаду та підпис особи, що затвердила документ про калібрування.</w:t>
      </w:r>
    </w:p>
    <w:bookmarkEnd w:id="83"/>
    <w:bookmarkStart w:name="85" w:id="84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45"/>
        <w:gridCol w:w="4845"/>
      </w:tblGrid>
      <w:tr>
        <w:trPr>
          <w:trHeight w:val="30" w:hRule="atLeast"/>
        </w:trPr>
        <w:tc>
          <w:tcPr>
            <w:tcW w:w="4845" w:type="dxa"/>
            <w:tcBorders/>
            <w:vAlign w:val="bottom"/>
          </w:tcPr>
          <w:bookmarkStart w:name="86" w:id="85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Директор департаменту технічного</w:t>
            </w:r>
            <w:r>
              <w:br/>
            </w:r>
            <w:r>
              <w:rPr>
                <w:rFonts w:ascii="Arial"/>
                <w:b/>
                <w:i w:val="false"/>
                <w:color w:val="000000"/>
                <w:sz w:val="15"/>
              </w:rPr>
              <w:t>регулювання та метрології</w:t>
            </w:r>
          </w:p>
          <w:bookmarkEnd w:id="85"/>
        </w:tc>
        <w:tc>
          <w:tcPr>
            <w:tcW w:w="4845" w:type="dxa"/>
            <w:tcBorders/>
            <w:vAlign w:val="bottom"/>
          </w:tcPr>
          <w:bookmarkStart w:name="87" w:id="86"/>
          <w:p>
            <w:pPr>
              <w:spacing w:after="0"/>
              <w:ind w:left="0"/>
              <w:jc w:val="center"/>
            </w:pPr>
            <w:r>
              <w:rPr>
                <w:rFonts w:ascii="Arial"/>
                <w:b/>
                <w:i w:val="false"/>
                <w:color w:val="000000"/>
                <w:sz w:val="15"/>
              </w:rPr>
              <w:t>М. Крижановський</w:t>
            </w:r>
          </w:p>
          <w:bookmarkEnd w:id="86"/>
        </w:tc>
      </w:tr>
    </w:tbl>
    <w:p>
      <w:pPr>
        <w:spacing/>
        <w:ind w:left="0"/>
        <w:jc w:val="left"/>
      </w:pPr>
      <w:r>
        <w:br/>
      </w:r>
    </w:p>
    <w:bookmarkStart w:name="88" w:id="87"/>
    <w:p>
      <w:pPr>
        <w:spacing w:after="0"/>
        <w:ind w:firstLine="240"/>
        <w:jc w:val="left"/>
      </w:pPr>
      <w:r>
        <w:rPr>
          <w:rFonts w:ascii="Arial"/>
          <w:b w:val="false"/>
          <w:i w:val="false"/>
          <w:color w:val="000000"/>
          <w:sz w:val="18"/>
        </w:rPr>
        <w:t xml:space="preserve"> </w:t>
      </w:r>
    </w:p>
    <w:bookmarkEnd w:id="87"/>
    <w:bookmarkStart w:name="89" w:id="88"/>
    <w:p>
      <w:pPr>
        <w:spacing w:after="0"/>
        <w:ind w:firstLine="240"/>
        <w:jc w:val="right"/>
      </w:pPr>
      <w:r>
        <w:rPr>
          <w:rFonts w:ascii="Arial"/>
          <w:b w:val="false"/>
          <w:i w:val="false"/>
          <w:color w:val="000000"/>
          <w:sz w:val="18"/>
        </w:rPr>
        <w:t>Додаток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до Порядку калібрування вторинних та робочих еталонів</w:t>
      </w:r>
      <w:r>
        <w:br/>
      </w:r>
      <w:r>
        <w:rPr>
          <w:rFonts w:ascii="Arial"/>
          <w:b w:val="false"/>
          <w:i w:val="false"/>
          <w:color w:val="000000"/>
          <w:sz w:val="18"/>
        </w:rPr>
        <w:t>(пункт 6 розділу II)</w:t>
      </w:r>
    </w:p>
    <w:bookmarkEnd w:id="88"/>
    <w:bookmarkStart w:name="90" w:id="89"/>
    <w:p>
      <w:pPr>
        <w:pStyle w:val="Heading3"/>
        <w:spacing w:after="0"/>
        <w:ind w:left="0"/>
        <w:jc w:val="center"/>
      </w:pPr>
      <w:r>
        <w:rPr>
          <w:rFonts w:ascii="Arial"/>
          <w:color w:val="000000"/>
          <w:sz w:val="27"/>
        </w:rPr>
        <w:t>Міжкалібрувальні інтервали для робочих еталонів</w:t>
      </w:r>
    </w:p>
    <w:bookmarkEnd w:id="89"/>
    <w:tbl>
      <w:tblPr>
        <w:tblW w:w="0" w:type="auto"/>
        <w:tblCellSpacing w:w="0" w:type="auto"/>
        <w:tblInd w:w="115" w:type="dxa"/>
        <w:tblBorders>
          <w:top w:val="inset" w:color="000000" w:sz="8"/>
          <w:left w:val="inset" w:color="000000" w:sz="8"/>
          <w:bottom w:val="inset" w:color="000000" w:sz="8"/>
          <w:right w:val="inset" w:color="000000" w:sz="8"/>
          <w:insideH w:val="none"/>
          <w:insideV w:val="none"/>
        </w:tblBorders>
      </w:tblPr>
      <w:tblGrid>
        <w:gridCol w:w="679"/>
        <w:gridCol w:w="6977"/>
        <w:gridCol w:w="2034"/>
      </w:tblGrid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1" w:id="9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N з/п</w:t>
            </w:r>
          </w:p>
          <w:bookmarkEnd w:id="9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2" w:id="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Назва робочого еталона</w:t>
            </w:r>
          </w:p>
          <w:bookmarkEnd w:id="9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3" w:id="9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Періодичність, рік</w:t>
            </w:r>
          </w:p>
          <w:bookmarkEnd w:id="9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4" w:id="9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</w:t>
            </w:r>
          </w:p>
          <w:bookmarkEnd w:id="9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5" w:id="9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9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6" w:id="9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9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7" w:id="9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9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8" w:id="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Акустика, ультразвук, вібрація (AUV)</w:t>
            </w:r>
          </w:p>
          <w:bookmarkEnd w:id="9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99" w:id="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9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0" w:id="9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</w:t>
            </w:r>
          </w:p>
          <w:bookmarkEnd w:id="9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1" w:id="10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Вібростенди, підсилювачі потужності, керуючі генератори</w:t>
            </w:r>
          </w:p>
          <w:bookmarkEnd w:id="10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2" w:id="1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0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3" w:id="10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0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4" w:id="10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Калібрувальні зразки для неруйнівного контролю</w:t>
            </w:r>
          </w:p>
          <w:bookmarkEnd w:id="10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5" w:id="1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0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6" w:id="10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10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7" w:id="10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еквівалентної ультразвукової товщини</w:t>
            </w:r>
          </w:p>
          <w:bookmarkEnd w:id="10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8" w:id="10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0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09" w:id="10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10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0" w:id="10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для вимірювання швидкості ультразвукових коливань в твердих тілах</w:t>
            </w:r>
          </w:p>
          <w:bookmarkEnd w:id="10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1" w:id="11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1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2" w:id="11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1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3" w:id="11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Електрика та магнетизм (EM)</w:t>
            </w:r>
          </w:p>
          <w:bookmarkEnd w:id="11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4" w:id="11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1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5" w:id="11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</w:t>
            </w:r>
          </w:p>
          <w:bookmarkEnd w:id="11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6" w:id="11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та магазини ємності</w:t>
            </w:r>
          </w:p>
          <w:bookmarkEnd w:id="11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7" w:id="11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1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8" w:id="11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6</w:t>
            </w:r>
          </w:p>
          <w:bookmarkEnd w:id="11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19" w:id="11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Магазини електричного опору та міри електричного опору однозначні та багатозначні постійного струму</w:t>
            </w:r>
          </w:p>
          <w:bookmarkEnd w:id="11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0" w:id="11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1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1" w:id="12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7</w:t>
            </w:r>
          </w:p>
          <w:bookmarkEnd w:id="12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2" w:id="12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Нормальні елементи</w:t>
            </w:r>
          </w:p>
          <w:bookmarkEnd w:id="12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3" w:id="12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2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4" w:id="12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8</w:t>
            </w:r>
          </w:p>
          <w:bookmarkEnd w:id="12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5" w:id="12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Подільники напруги</w:t>
            </w:r>
          </w:p>
          <w:bookmarkEnd w:id="12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6" w:id="12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2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7" w:id="12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9</w:t>
            </w:r>
          </w:p>
          <w:bookmarkEnd w:id="12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8" w:id="12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Подільники опору</w:t>
            </w:r>
          </w:p>
          <w:bookmarkEnd w:id="12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29" w:id="12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2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0" w:id="12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10</w:t>
            </w:r>
          </w:p>
          <w:bookmarkEnd w:id="12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1" w:id="13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Трансформатори (масштабні перетворювачі) струму та напруги без вбудованих електронних пристроїв</w:t>
            </w:r>
          </w:p>
          <w:bookmarkEnd w:id="13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2" w:id="1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13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3" w:id="13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11</w:t>
            </w:r>
          </w:p>
          <w:bookmarkEnd w:id="13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4" w:id="13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Устаткування для симетрії напруг</w:t>
            </w:r>
          </w:p>
          <w:bookmarkEnd w:id="13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5" w:id="13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3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6" w:id="13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3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7" w:id="13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Іонізуюче випромінювання (RI)</w:t>
            </w:r>
          </w:p>
          <w:bookmarkEnd w:id="13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8" w:id="13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3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39" w:id="13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12</w:t>
            </w:r>
          </w:p>
          <w:bookmarkEnd w:id="13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0" w:id="13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Робочі еталонні джерела альфа-, бета-, гамма-випромінення</w:t>
            </w:r>
          </w:p>
          <w:bookmarkEnd w:id="13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1" w:id="14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4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2" w:id="14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13</w:t>
            </w:r>
          </w:p>
          <w:bookmarkEnd w:id="14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3" w:id="14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Робочі еталонні радіонуклідні джерела спеціального призначення</w:t>
            </w:r>
          </w:p>
          <w:bookmarkEnd w:id="14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4" w:id="14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4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5" w:id="14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14</w:t>
            </w:r>
          </w:p>
          <w:bookmarkEnd w:id="14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6" w:id="14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повірочні гамма-дозиметричні з гамма-джерелами</w:t>
            </w:r>
          </w:p>
          <w:bookmarkEnd w:id="14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7" w:id="14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4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8" w:id="14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15</w:t>
            </w:r>
          </w:p>
          <w:bookmarkEnd w:id="14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49" w:id="14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повірочні нейтронного випромінення</w:t>
            </w:r>
          </w:p>
          <w:bookmarkEnd w:id="14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0" w:id="14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4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1" w:id="15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5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2" w:id="15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Довжина (L)</w:t>
            </w:r>
          </w:p>
          <w:bookmarkEnd w:id="15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3" w:id="15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15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4" w:id="15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16</w:t>
            </w:r>
          </w:p>
          <w:bookmarkEnd w:id="15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5" w:id="15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Екзаменатори</w:t>
            </w:r>
          </w:p>
          <w:bookmarkEnd w:id="15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6" w:id="15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15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7" w:id="15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17</w:t>
            </w:r>
          </w:p>
          <w:bookmarkEnd w:id="15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8" w:id="15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Компаратори для повірки матеріальних мір довжини</w:t>
            </w:r>
          </w:p>
          <w:bookmarkEnd w:id="15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59" w:id="15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5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0" w:id="15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18</w:t>
            </w:r>
          </w:p>
          <w:bookmarkEnd w:id="15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1" w:id="16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Лінійні геодезичні базиси та компаратори польові</w:t>
            </w:r>
          </w:p>
          <w:bookmarkEnd w:id="16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2" w:id="16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6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3" w:id="16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19</w:t>
            </w:r>
          </w:p>
          <w:bookmarkEnd w:id="16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4" w:id="16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Мікроскопи вимірювальні</w:t>
            </w:r>
          </w:p>
          <w:bookmarkEnd w:id="16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5" w:id="16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6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6" w:id="16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20</w:t>
            </w:r>
          </w:p>
          <w:bookmarkEnd w:id="16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7" w:id="16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довжини кінцеві</w:t>
            </w:r>
          </w:p>
          <w:bookmarkEnd w:id="16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8" w:id="16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6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69" w:id="16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21</w:t>
            </w:r>
          </w:p>
          <w:bookmarkEnd w:id="16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0" w:id="16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довжини штрихові</w:t>
            </w:r>
          </w:p>
          <w:bookmarkEnd w:id="16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1" w:id="17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17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2" w:id="17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22</w:t>
            </w:r>
          </w:p>
          <w:bookmarkEnd w:id="17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3" w:id="17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площинного кута</w:t>
            </w:r>
          </w:p>
          <w:bookmarkEnd w:id="17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4" w:id="17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17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5" w:id="17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23</w:t>
            </w:r>
          </w:p>
          <w:bookmarkEnd w:id="17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6" w:id="17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площі</w:t>
            </w:r>
          </w:p>
          <w:bookmarkEnd w:id="17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7" w:id="17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</w:t>
            </w:r>
          </w:p>
          <w:bookmarkEnd w:id="17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8" w:id="17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24</w:t>
            </w:r>
          </w:p>
          <w:bookmarkEnd w:id="17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79" w:id="17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Приймачі глобальних супутникових навігаційних систем</w:t>
            </w:r>
          </w:p>
          <w:bookmarkEnd w:id="17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0" w:id="17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7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1" w:id="18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25</w:t>
            </w:r>
          </w:p>
          <w:bookmarkEnd w:id="18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2" w:id="18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Рейки нівелірні</w:t>
            </w:r>
          </w:p>
          <w:bookmarkEnd w:id="18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3" w:id="18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</w:t>
            </w:r>
          </w:p>
          <w:bookmarkEnd w:id="18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4" w:id="18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26</w:t>
            </w:r>
          </w:p>
          <w:bookmarkEnd w:id="18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5" w:id="18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Рівнеміри еталонні</w:t>
            </w:r>
          </w:p>
          <w:bookmarkEnd w:id="18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6" w:id="1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8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7" w:id="18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27</w:t>
            </w:r>
          </w:p>
          <w:bookmarkEnd w:id="18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8" w:id="18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Стрічки вимірювальні</w:t>
            </w:r>
          </w:p>
          <w:bookmarkEnd w:id="18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89" w:id="18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8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0" w:id="18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28</w:t>
            </w:r>
          </w:p>
          <w:bookmarkEnd w:id="18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1" w:id="19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Тахеометри високоточні</w:t>
            </w:r>
          </w:p>
          <w:bookmarkEnd w:id="19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2" w:id="1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9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3" w:id="19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29</w:t>
            </w:r>
          </w:p>
          <w:bookmarkEnd w:id="19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4" w:id="19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для повірки рівнемірів імітаційним методом</w:t>
            </w:r>
          </w:p>
          <w:bookmarkEnd w:id="19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5" w:id="19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9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6" w:id="19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30</w:t>
            </w:r>
          </w:p>
          <w:bookmarkEnd w:id="19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7" w:id="19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для повірки рівнемірів прямим методом</w:t>
            </w:r>
          </w:p>
          <w:bookmarkEnd w:id="19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8" w:id="19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19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199" w:id="19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31</w:t>
            </w:r>
          </w:p>
          <w:bookmarkEnd w:id="19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0" w:id="19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Установки автоколімаційні для повірки нівелірів, теодолітів та тахеометрів</w:t>
            </w:r>
          </w:p>
          <w:bookmarkEnd w:id="19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1" w:id="20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0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2" w:id="20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0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3" w:id="20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Маса та пов'язані з нею величини (M)</w:t>
            </w:r>
          </w:p>
          <w:bookmarkEnd w:id="20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4" w:id="20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0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5" w:id="20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32</w:t>
            </w:r>
          </w:p>
          <w:bookmarkEnd w:id="20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6" w:id="20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Ареометри (загального призначення, для спирту, цукроміри, для молока, для нафтопрдуктів тощо)</w:t>
            </w:r>
          </w:p>
          <w:bookmarkEnd w:id="20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7" w:id="20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</w:t>
            </w:r>
          </w:p>
          <w:bookmarkEnd w:id="20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8" w:id="20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33</w:t>
            </w:r>
          </w:p>
          <w:bookmarkEnd w:id="20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09" w:id="20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Вимірювальні повірочні комплекси атмосферного тиску</w:t>
            </w:r>
          </w:p>
          <w:bookmarkEnd w:id="20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0" w:id="20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0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1" w:id="21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34</w:t>
            </w:r>
          </w:p>
          <w:bookmarkEnd w:id="21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2" w:id="21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Гирі еталонні</w:t>
            </w:r>
          </w:p>
          <w:bookmarkEnd w:id="21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3" w:id="21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1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4" w:id="21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35</w:t>
            </w:r>
          </w:p>
          <w:bookmarkEnd w:id="21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5" w:id="21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Засоби вимірювальної техніки еталонні для апланаційних і чутливих тонометрів</w:t>
            </w:r>
          </w:p>
          <w:bookmarkEnd w:id="21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6" w:id="21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1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7" w:id="21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36</w:t>
            </w:r>
          </w:p>
          <w:bookmarkEnd w:id="21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8" w:id="21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Засоби контролю дзвона</w:t>
            </w:r>
          </w:p>
          <w:bookmarkEnd w:id="21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19" w:id="21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</w:t>
            </w:r>
          </w:p>
          <w:bookmarkEnd w:id="21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0" w:id="21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37</w:t>
            </w:r>
          </w:p>
          <w:bookmarkEnd w:id="21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1" w:id="22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Манометри, вакуумметри та мановакуумметри поршневі</w:t>
            </w:r>
          </w:p>
          <w:bookmarkEnd w:id="22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2" w:id="22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2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3" w:id="22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38</w:t>
            </w:r>
          </w:p>
          <w:bookmarkEnd w:id="22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4" w:id="22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Мановакуумметри рідинні ППР та аналогічні</w:t>
            </w:r>
          </w:p>
          <w:bookmarkEnd w:id="22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5" w:id="22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2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6" w:id="22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39</w:t>
            </w:r>
          </w:p>
          <w:bookmarkEnd w:id="22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7" w:id="22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Машини еталонні силовимірювальні</w:t>
            </w:r>
          </w:p>
          <w:bookmarkEnd w:id="22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8" w:id="22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2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29" w:id="22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40</w:t>
            </w:r>
          </w:p>
          <w:bookmarkEnd w:id="22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0" w:id="22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Механізми витиснення нафти з овальними колесами</w:t>
            </w:r>
          </w:p>
          <w:bookmarkEnd w:id="22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1" w:id="23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3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2" w:id="23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41</w:t>
            </w:r>
          </w:p>
          <w:bookmarkEnd w:id="23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3" w:id="23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Мікроманометри рідинні МКВ та аналогічні</w:t>
            </w:r>
          </w:p>
          <w:bookmarkEnd w:id="23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4" w:id="23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3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5" w:id="23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42</w:t>
            </w:r>
          </w:p>
          <w:bookmarkEnd w:id="23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6" w:id="23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Мікроманометри рідинні МКМ та аналогічні</w:t>
            </w:r>
          </w:p>
          <w:bookmarkEnd w:id="23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7" w:id="23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23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8" w:id="23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43</w:t>
            </w:r>
          </w:p>
          <w:bookmarkEnd w:id="23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39" w:id="23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Мірники металеві еталонні</w:t>
            </w:r>
          </w:p>
          <w:bookmarkEnd w:id="23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0" w:id="23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3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1" w:id="24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44</w:t>
            </w:r>
          </w:p>
          <w:bookmarkEnd w:id="24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2" w:id="241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Пурки еталонні</w:t>
            </w:r>
          </w:p>
          <w:bookmarkEnd w:id="24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3" w:id="24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4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4" w:id="24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45</w:t>
            </w:r>
          </w:p>
          <w:bookmarkEnd w:id="24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5" w:id="24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Скляні засоби контролю (вимірювальні колби, бюретки, піпетки, вимірювальні циліндри)</w:t>
            </w:r>
          </w:p>
          <w:bookmarkEnd w:id="24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6" w:id="24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без обмежень</w:t>
            </w:r>
          </w:p>
          <w:bookmarkEnd w:id="24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7" w:id="24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4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8" w:id="24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Фотометрія (PR)</w:t>
            </w:r>
          </w:p>
          <w:bookmarkEnd w:id="24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49" w:id="24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4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0" w:id="24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46</w:t>
            </w:r>
          </w:p>
          <w:bookmarkEnd w:id="24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1" w:id="25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Кварцові поляриметричні пластини</w:t>
            </w:r>
          </w:p>
          <w:bookmarkEnd w:id="25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2" w:id="25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25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3" w:id="25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47</w:t>
            </w:r>
          </w:p>
          <w:bookmarkEnd w:id="25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4" w:id="25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Лазерні інтерферометри</w:t>
            </w:r>
          </w:p>
          <w:bookmarkEnd w:id="25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5" w:id="25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5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6" w:id="25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48</w:t>
            </w:r>
          </w:p>
          <w:bookmarkEnd w:id="25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7" w:id="25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довжин хвиль смуг поглинання</w:t>
            </w:r>
          </w:p>
          <w:bookmarkEnd w:id="25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8" w:id="25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5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59" w:id="25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49</w:t>
            </w:r>
          </w:p>
          <w:bookmarkEnd w:id="25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0" w:id="25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коефіцієнтів пропускання та оптичної густини</w:t>
            </w:r>
          </w:p>
          <w:bookmarkEnd w:id="25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1" w:id="26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6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2" w:id="26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50</w:t>
            </w:r>
          </w:p>
          <w:bookmarkEnd w:id="26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3" w:id="26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коефіцієнтів відбиття та оптичної густини</w:t>
            </w:r>
          </w:p>
          <w:bookmarkEnd w:id="26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4" w:id="26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63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5" w:id="26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51</w:t>
            </w:r>
          </w:p>
          <w:bookmarkEnd w:id="264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6" w:id="265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оптичної сили та радіусу кривизни сферичної поверхні</w:t>
            </w:r>
          </w:p>
          <w:bookmarkEnd w:id="265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7" w:id="26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66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8" w:id="26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52</w:t>
            </w:r>
          </w:p>
          <w:bookmarkEnd w:id="267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69" w:id="268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Міри показника заломлення</w:t>
            </w:r>
          </w:p>
          <w:bookmarkEnd w:id="268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0" w:id="26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4</w:t>
            </w:r>
          </w:p>
          <w:bookmarkEnd w:id="269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1" w:id="27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70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2" w:id="27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Термометрія (T)</w:t>
            </w:r>
          </w:p>
          <w:bookmarkEnd w:id="271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3" w:id="27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 xml:space="preserve"> </w:t>
            </w:r>
          </w:p>
          <w:bookmarkEnd w:id="272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4" w:id="27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53</w:t>
            </w:r>
          </w:p>
          <w:bookmarkEnd w:id="273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5" w:id="274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Випромінювачі типу "чорне тіло" та аналогічні</w:t>
            </w:r>
          </w:p>
          <w:bookmarkEnd w:id="274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6" w:id="27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75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7" w:id="276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54</w:t>
            </w:r>
          </w:p>
          <w:bookmarkEnd w:id="276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8" w:id="277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Ртутні скляні термометри</w:t>
            </w:r>
          </w:p>
          <w:bookmarkEnd w:id="277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79" w:id="27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78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0" w:id="279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55</w:t>
            </w:r>
          </w:p>
          <w:bookmarkEnd w:id="279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1" w:id="280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Перетворювачі термоелектричні платинородій-платинові</w:t>
            </w:r>
          </w:p>
          <w:bookmarkEnd w:id="280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2" w:id="28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81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3" w:id="282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56</w:t>
            </w:r>
          </w:p>
          <w:bookmarkEnd w:id="282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4" w:id="283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Перетворювачі термоелектричні платинородій-платинородієві</w:t>
            </w:r>
          </w:p>
          <w:bookmarkEnd w:id="283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5" w:id="284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84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6" w:id="285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57</w:t>
            </w:r>
          </w:p>
          <w:bookmarkEnd w:id="285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7" w:id="286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Пірометри повного і часткового випромінювання</w:t>
            </w:r>
          </w:p>
          <w:bookmarkEnd w:id="286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8" w:id="287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87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89" w:id="288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58</w:t>
            </w:r>
          </w:p>
          <w:bookmarkEnd w:id="288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90" w:id="289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Термометри із твердими основами або закритими шкалами</w:t>
            </w:r>
          </w:p>
          <w:bookmarkEnd w:id="289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91" w:id="290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3</w:t>
            </w:r>
          </w:p>
          <w:bookmarkEnd w:id="290"/>
        </w:tc>
      </w:tr>
      <w:tr>
        <w:trPr>
          <w:trHeight w:val="45" w:hRule="atLeast"/>
        </w:trPr>
        <w:tc>
          <w:tcPr>
            <w:tcW w:w="6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92" w:id="291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59</w:t>
            </w:r>
          </w:p>
          <w:bookmarkEnd w:id="291"/>
        </w:tc>
        <w:tc>
          <w:tcPr>
            <w:tcW w:w="6977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93" w:id="292"/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Термометри опору платинові еталонні</w:t>
            </w:r>
          </w:p>
          <w:bookmarkEnd w:id="292"/>
        </w:tc>
        <w:tc>
          <w:tcPr>
            <w:tcW w:w="203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vAlign w:val="top"/>
          </w:tcPr>
          <w:bookmarkStart w:name="294" w:id="293"/>
          <w:p>
            <w:pPr>
              <w:spacing w:after="0"/>
              <w:ind w:left="0"/>
              <w:jc w:val="center"/>
            </w:pPr>
            <w:r>
              <w:rPr>
                <w:rFonts w:ascii="Arial"/>
                <w:b w:val="false"/>
                <w:i w:val="false"/>
                <w:color w:val="000000"/>
                <w:sz w:val="15"/>
              </w:rPr>
              <w:t>2</w:t>
            </w:r>
          </w:p>
          <w:bookmarkEnd w:id="293"/>
        </w:tc>
      </w:tr>
    </w:tbl>
    <w:p>
      <w:pPr>
        <w:spacing/>
        <w:ind w:left="0"/>
        <w:jc w:val="left"/>
      </w:pPr>
      <w:r>
        <w:br/>
      </w:r>
    </w:p>
    <w:bookmarkStart w:name="295" w:id="294"/>
    <w:p>
      <w:pPr>
        <w:spacing w:after="0"/>
        <w:ind w:left="0"/>
        <w:jc w:val="center"/>
      </w:pPr>
      <w:r>
        <w:rPr>
          <w:rFonts w:ascii="Arial"/>
          <w:b w:val="false"/>
          <w:i w:val="false"/>
          <w:color w:val="000000"/>
          <w:sz w:val="18"/>
        </w:rPr>
        <w:t>____________</w:t>
      </w:r>
    </w:p>
    <w:bookmarkEnd w:id="294"/>
    <w:bookmarkStart w:name="296" w:id="295"/>
    <w:p>
      <w:pPr>
        <w:spacing w:after="0"/>
        <w:ind w:firstLine="240"/>
        <w:jc w:val="left"/>
      </w:pPr>
    </w:p>
    <w:bookmarkEnd w:id="295"/>
    <w:tbl>
      <w:tblPr>
        <w:tblW w:w="0" w:type="auto"/>
        <w:tblCellSpacing w:w="2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10"/>
        <w:gridCol w:w="1240"/>
      </w:tblGrid>
      <w:tr>
        <w:trPr/>
        <w:tc>
          <w:tcPr>
            <w:tcW w:w="841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"Інформаційно-аналітичний центр "ЛІГА", 2022</w:t>
            </w:r>
            <w:r>
              <w:br/>
            </w:r>
            <w:r>
              <w:rPr>
                <w:rFonts w:ascii="Arial"/>
                <w:b w:val="false"/>
                <w:i w:val="false"/>
                <w:color w:val="000000"/>
                <w:sz w:val="18"/>
              </w:rPr>
              <w:t>© ТОВ "ЛІГА ЗАКОН", 2022</w:t>
            </w:r>
          </w:p>
        </w:tc>
        <w:tc>
          <w:tcPr>
            <w:tcW w:w="1240" w:type="dxa"/>
            <w:tcBorders/>
            <w:vAlign w:val="center"/>
          </w:tcPr>
          <w:p>
            <w:pPr>
              <w:spacing w:after="0"/>
              <w:ind w:left="0"/>
              <w:jc w:val="left"/>
            </w:pPr>
            <w:r>
              <w:drawing>
                <wp:inline distT="0" distB="0" distL="0" distR="0">
                  <wp:extent cx="7620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ind w:left="0"/>
        <w:jc w:val="left"/>
      </w:pPr>
      <w:r>
        <w:br/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="media/document_image_rId4.gif" Type="http://schemas.openxmlformats.org/officeDocument/2006/relationships/image" Id="rId4"/><Relationship Target="media/document_image_rId5.pn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Application>docx4j</properties:Application>
  <properties:AppVersion>3.3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</dc:creator>
  <cp:lastModifiedBy>docx4j</cp:lastModifiedBy>
</cp:coreProperties>
</file>