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6e02" w14:textId="d396e02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30 грудня 2022 р. N 1468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Порядку проведення витрат на поховання у разі смерті потерпілого від нещасного випадку на виробництві або професійного захворювання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частини шостої статті 36 Закону України "Про загальнообов'язкове державне соціальне страхування"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Порядок проведення витрат на поховання у разі смерті потерпілого від нещасного випадку на виробництві або професійного захворювання,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Визнати такою, що втратила чинність, </w:t>
      </w:r>
      <w:r>
        <w:rPr>
          <w:rFonts w:ascii="Arial"/>
          <w:b w:val="false"/>
          <w:i w:val="false"/>
          <w:color w:val="000000"/>
          <w:sz w:val="18"/>
        </w:rPr>
        <w:t>постанову Кабінету Міністрів України від 11 липня 2001 р. N 826 "Про затвердження Порядку проведення витрат на поховання у разі смерті потерпілого від нещасного випадку на виробництві або професійного захворювання"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2001 р., N 29, ст. 1313).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Ця постанова набирає чинності з 1 січня 2023 року.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1"/>
        </w:tc>
        <w:tc>
          <w:tcPr>
            <w:tcW w:w="4845" w:type="dxa"/>
            <w:tcBorders/>
            <w:vAlign w:val="center"/>
          </w:tcPr>
          <w:bookmarkStart w:name="13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2"/>
        </w:tc>
      </w:tr>
    </w:tbl>
    <w:p>
      <w:pPr>
        <w:spacing/>
        <w:ind w:left="0"/>
        <w:jc w:val="left"/>
      </w:pPr>
      <w:r>
        <w:br/>
      </w:r>
    </w:p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75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"/>
    <w:bookmarkStart w:name="16" w:id="1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2022 р. N 1468</w:t>
      </w:r>
    </w:p>
    <w:bookmarkEnd w:id="15"/>
    <w:bookmarkStart w:name="17" w:id="1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проведення витрат на поховання у разі смерті потерпілого від нещасного випадку на виробництві або професійного захворювання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Цей Порядок регулює питання проведення Пенсійним фондом України витрат страхувальнику або сім'ї застрахованого, чи іншій особі, яка здійснювала поховання потерпілого у разі його смерті від нещасного випадку на виробництві або професійного захворювання, на організацію поховання та пов'язаних з цим ритуальних послуг. Факт наявності нещасного випадку на виробництві або професійного захворювання засвідчується документами, передбаченими Порядком розслідування та обліку нещасних випадків, професійних захворювань та аварій на виробництві, затвердженим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17 квітня 2019 р. N 337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2019 р., N 34, ст. 1217).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Витрати на поховання провадяться у разі смерті потерпілого, що настала за обставин, за яких настає страховий випадок державного соціального страхування від нещасного випадку (професійного захворювання (отруєння/аварії) на виробництві, перелік яких визначено у додатку 10 до Порядку розслідування та обліку нещасних випадків, професійних захворювань та аварій на виробництві,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17 квітня 2019 р. N 337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Організація поховання працівника, який загинув на виробництві або помер у лікарні під час лікування отриманої на виробництві травми, проводиться страхувальником.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Розмір і процедура проведення та обліку витрат на поховання та пов'язаних з цим ритуальних послуг встановлюються правлінням Пенсійного фонду України. При цьому провадяться витрати на саме поховання, предмети ритуальної належності, релігійні традиції, намогильні споруди.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Фінансування витрат на поховання здійснюється в порядку, що встановлюється правлінням Пенсійного фонду України.</w:t>
      </w:r>
    </w:p>
    <w:bookmarkEnd w:id="21"/>
    <w:bookmarkStart w:name="23" w:id="2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2"/>
    <w:bookmarkStart w:name="24" w:id="23"/>
    <w:p>
      <w:pPr>
        <w:spacing w:after="0"/>
        <w:ind w:firstLine="240"/>
        <w:jc w:val="left"/>
      </w:pPr>
    </w:p>
    <w:bookmarkEnd w:id="2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