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5F" w:rsidRDefault="00B8795F" w:rsidP="00B8795F">
      <w:pPr>
        <w:spacing w:after="0"/>
        <w:jc w:val="center"/>
      </w:pPr>
      <w:bookmarkStart w:id="0" w:name="4659"/>
      <w:r>
        <w:rPr>
          <w:noProof/>
        </w:rPr>
        <w:drawing>
          <wp:inline distT="0" distB="0" distL="0" distR="0" wp14:anchorId="1ED45D09" wp14:editId="5401F24B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95F" w:rsidRPr="00127C02" w:rsidRDefault="00B8795F" w:rsidP="00B8795F">
      <w:pPr>
        <w:spacing w:after="0"/>
        <w:jc w:val="center"/>
        <w:rPr>
          <w:lang w:val="ru-RU"/>
        </w:rPr>
      </w:pPr>
      <w:bookmarkStart w:id="1" w:name="2"/>
      <w:bookmarkEnd w:id="0"/>
      <w:r w:rsidRPr="00127C02">
        <w:rPr>
          <w:rFonts w:ascii="Arial"/>
          <w:b/>
          <w:color w:val="000000"/>
          <w:sz w:val="21"/>
          <w:lang w:val="ru-RU"/>
        </w:rPr>
        <w:t>МІНІСТЕРСТВО</w:t>
      </w:r>
      <w:r w:rsidRPr="00127C02">
        <w:rPr>
          <w:rFonts w:ascii="Arial"/>
          <w:b/>
          <w:color w:val="000000"/>
          <w:sz w:val="21"/>
          <w:lang w:val="ru-RU"/>
        </w:rPr>
        <w:t xml:space="preserve"> </w:t>
      </w:r>
      <w:r w:rsidRPr="00127C02">
        <w:rPr>
          <w:rFonts w:ascii="Arial"/>
          <w:b/>
          <w:color w:val="000000"/>
          <w:sz w:val="21"/>
          <w:lang w:val="ru-RU"/>
        </w:rPr>
        <w:t>ОХОРОНИ</w:t>
      </w:r>
      <w:r w:rsidRPr="00127C02">
        <w:rPr>
          <w:rFonts w:ascii="Arial"/>
          <w:b/>
          <w:color w:val="000000"/>
          <w:sz w:val="21"/>
          <w:lang w:val="ru-RU"/>
        </w:rPr>
        <w:t xml:space="preserve"> </w:t>
      </w:r>
      <w:r w:rsidRPr="00127C02">
        <w:rPr>
          <w:rFonts w:ascii="Arial"/>
          <w:b/>
          <w:color w:val="000000"/>
          <w:sz w:val="21"/>
          <w:lang w:val="ru-RU"/>
        </w:rPr>
        <w:t>ЗДОРОВ</w:t>
      </w:r>
      <w:r w:rsidRPr="00127C02">
        <w:rPr>
          <w:rFonts w:ascii="Arial"/>
          <w:b/>
          <w:color w:val="000000"/>
          <w:sz w:val="21"/>
          <w:lang w:val="ru-RU"/>
        </w:rPr>
        <w:t>'</w:t>
      </w:r>
      <w:r w:rsidRPr="00127C02">
        <w:rPr>
          <w:rFonts w:ascii="Arial"/>
          <w:b/>
          <w:color w:val="000000"/>
          <w:sz w:val="21"/>
          <w:lang w:val="ru-RU"/>
        </w:rPr>
        <w:t>Я</w:t>
      </w:r>
      <w:r w:rsidRPr="00127C02">
        <w:rPr>
          <w:rFonts w:ascii="Arial"/>
          <w:b/>
          <w:color w:val="000000"/>
          <w:sz w:val="21"/>
          <w:lang w:val="ru-RU"/>
        </w:rPr>
        <w:t xml:space="preserve"> </w:t>
      </w:r>
      <w:r w:rsidRPr="00127C02">
        <w:rPr>
          <w:rFonts w:ascii="Arial"/>
          <w:b/>
          <w:color w:val="000000"/>
          <w:sz w:val="21"/>
          <w:lang w:val="ru-RU"/>
        </w:rPr>
        <w:t>УКРАЇНИ</w:t>
      </w:r>
    </w:p>
    <w:p w:rsidR="00B8795F" w:rsidRPr="00127C02" w:rsidRDefault="00B8795F" w:rsidP="00B8795F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27C02">
        <w:rPr>
          <w:rFonts w:ascii="Arial"/>
          <w:color w:val="000000"/>
          <w:sz w:val="27"/>
          <w:lang w:val="ru-RU"/>
        </w:rPr>
        <w:t>НАКАЗ</w:t>
      </w:r>
    </w:p>
    <w:p w:rsidR="00B8795F" w:rsidRDefault="00B8795F" w:rsidP="00B8795F">
      <w:pPr>
        <w:spacing w:after="0"/>
        <w:jc w:val="center"/>
        <w:rPr>
          <w:rFonts w:ascii="Arial"/>
          <w:b/>
          <w:color w:val="000000"/>
          <w:sz w:val="18"/>
          <w:lang w:val="ru-RU"/>
        </w:rPr>
      </w:pPr>
      <w:bookmarkStart w:id="3" w:name="4"/>
      <w:bookmarkEnd w:id="2"/>
      <w:proofErr w:type="spellStart"/>
      <w:r w:rsidRPr="00127C02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127C02">
        <w:rPr>
          <w:rFonts w:ascii="Arial"/>
          <w:b/>
          <w:color w:val="000000"/>
          <w:sz w:val="18"/>
          <w:lang w:val="ru-RU"/>
        </w:rPr>
        <w:t xml:space="preserve"> 1</w:t>
      </w:r>
      <w:r>
        <w:rPr>
          <w:rFonts w:ascii="Arial"/>
          <w:b/>
          <w:color w:val="000000"/>
          <w:sz w:val="18"/>
          <w:lang w:val="ru-RU"/>
        </w:rPr>
        <w:t>6</w:t>
      </w:r>
      <w:r w:rsidRPr="00127C02">
        <w:rPr>
          <w:rFonts w:ascii="Arial"/>
          <w:b/>
          <w:color w:val="000000"/>
          <w:sz w:val="18"/>
          <w:lang w:val="ru-RU"/>
        </w:rPr>
        <w:t xml:space="preserve"> </w:t>
      </w:r>
      <w:r w:rsidRPr="00127C02">
        <w:rPr>
          <w:rFonts w:ascii="Arial"/>
          <w:b/>
          <w:color w:val="000000"/>
          <w:sz w:val="18"/>
          <w:lang w:val="ru-RU"/>
        </w:rPr>
        <w:t>ли</w:t>
      </w:r>
      <w:r>
        <w:rPr>
          <w:rFonts w:ascii="Arial"/>
          <w:b/>
          <w:color w:val="000000"/>
          <w:sz w:val="18"/>
          <w:lang w:val="ru-RU"/>
        </w:rPr>
        <w:t>пня</w:t>
      </w:r>
      <w:r w:rsidRPr="00127C02">
        <w:rPr>
          <w:rFonts w:ascii="Arial"/>
          <w:b/>
          <w:color w:val="000000"/>
          <w:sz w:val="18"/>
          <w:lang w:val="ru-RU"/>
        </w:rPr>
        <w:t xml:space="preserve"> 20</w:t>
      </w:r>
      <w:r>
        <w:rPr>
          <w:rFonts w:ascii="Arial"/>
          <w:b/>
          <w:color w:val="000000"/>
          <w:sz w:val="18"/>
          <w:lang w:val="ru-RU"/>
        </w:rPr>
        <w:t>24</w:t>
      </w:r>
      <w:r w:rsidRPr="00127C02">
        <w:rPr>
          <w:rFonts w:ascii="Arial"/>
          <w:b/>
          <w:color w:val="000000"/>
          <w:sz w:val="18"/>
          <w:lang w:val="ru-RU"/>
        </w:rPr>
        <w:t xml:space="preserve"> </w:t>
      </w:r>
      <w:r w:rsidRPr="00127C02">
        <w:rPr>
          <w:rFonts w:ascii="Arial"/>
          <w:b/>
          <w:color w:val="000000"/>
          <w:sz w:val="18"/>
          <w:lang w:val="ru-RU"/>
        </w:rPr>
        <w:t>року</w:t>
      </w:r>
      <w:r w:rsidRPr="00127C0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127C02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  <w:lang w:val="ru-RU"/>
        </w:rPr>
        <w:t>1237</w:t>
      </w:r>
    </w:p>
    <w:p w:rsidR="00B8795F" w:rsidRDefault="00B8795F" w:rsidP="00B8795F">
      <w:pPr>
        <w:spacing w:after="0"/>
        <w:jc w:val="center"/>
        <w:rPr>
          <w:rFonts w:ascii="Arial"/>
          <w:b/>
          <w:color w:val="000000"/>
          <w:sz w:val="18"/>
          <w:lang w:val="ru-RU"/>
        </w:rPr>
      </w:pPr>
    </w:p>
    <w:p w:rsidR="00B8795F" w:rsidRPr="00B8795F" w:rsidRDefault="00B8795F" w:rsidP="00B8795F">
      <w:pPr>
        <w:spacing w:after="0"/>
        <w:jc w:val="center"/>
        <w:rPr>
          <w:rFonts w:eastAsiaTheme="majorEastAsia" w:cstheme="minorHAnsi"/>
          <w:b/>
          <w:bCs/>
          <w:color w:val="000000"/>
          <w:sz w:val="24"/>
          <w:szCs w:val="24"/>
          <w:lang w:val="ru-RU"/>
        </w:rPr>
      </w:pPr>
      <w:r w:rsidRPr="00B8795F">
        <w:rPr>
          <w:rFonts w:eastAsiaTheme="majorEastAsia" w:cstheme="minorHAnsi"/>
          <w:b/>
          <w:sz w:val="24"/>
          <w:szCs w:val="24"/>
          <w:lang w:val="ru-RU"/>
        </w:rPr>
        <w:t xml:space="preserve">Про </w:t>
      </w:r>
      <w:proofErr w:type="spellStart"/>
      <w:r w:rsidRPr="00B8795F">
        <w:rPr>
          <w:rFonts w:eastAsiaTheme="majorEastAsia" w:cstheme="minorHAnsi"/>
          <w:b/>
          <w:sz w:val="24"/>
          <w:szCs w:val="24"/>
          <w:lang w:val="ru-RU"/>
        </w:rPr>
        <w:t>затвердження</w:t>
      </w:r>
      <w:proofErr w:type="spellEnd"/>
      <w:r w:rsidRPr="00B8795F">
        <w:rPr>
          <w:rFonts w:eastAsiaTheme="majorEastAsia" w:cstheme="minorHAnsi"/>
          <w:b/>
          <w:sz w:val="24"/>
          <w:szCs w:val="24"/>
          <w:lang w:val="ru-RU"/>
        </w:rPr>
        <w:t xml:space="preserve"> </w:t>
      </w:r>
      <w:proofErr w:type="spellStart"/>
      <w:r w:rsidRPr="00B8795F">
        <w:rPr>
          <w:rFonts w:eastAsiaTheme="majorEastAsia" w:cstheme="minorHAnsi"/>
          <w:b/>
          <w:sz w:val="24"/>
          <w:szCs w:val="24"/>
          <w:lang w:val="ru-RU"/>
        </w:rPr>
        <w:t>нових</w:t>
      </w:r>
      <w:proofErr w:type="spellEnd"/>
      <w:r w:rsidRPr="00B8795F">
        <w:rPr>
          <w:rFonts w:eastAsiaTheme="majorEastAsia" w:cstheme="minorHAnsi"/>
          <w:b/>
          <w:sz w:val="24"/>
          <w:szCs w:val="24"/>
          <w:lang w:val="ru-RU"/>
        </w:rPr>
        <w:t xml:space="preserve"> </w:t>
      </w:r>
      <w:proofErr w:type="spellStart"/>
      <w:r w:rsidRPr="00B8795F">
        <w:rPr>
          <w:rFonts w:eastAsiaTheme="majorEastAsia" w:cstheme="minorHAnsi"/>
          <w:b/>
          <w:sz w:val="24"/>
          <w:szCs w:val="24"/>
          <w:lang w:val="ru-RU"/>
        </w:rPr>
        <w:t>клінічних</w:t>
      </w:r>
      <w:proofErr w:type="spellEnd"/>
      <w:r w:rsidRPr="00B8795F">
        <w:rPr>
          <w:rFonts w:eastAsiaTheme="majorEastAsia" w:cstheme="minorHAnsi"/>
          <w:b/>
          <w:sz w:val="24"/>
          <w:szCs w:val="24"/>
          <w:lang w:val="ru-RU"/>
        </w:rPr>
        <w:t xml:space="preserve"> </w:t>
      </w:r>
      <w:proofErr w:type="spellStart"/>
      <w:r w:rsidRPr="00B8795F">
        <w:rPr>
          <w:rFonts w:eastAsiaTheme="majorEastAsia" w:cstheme="minorHAnsi"/>
          <w:b/>
          <w:sz w:val="24"/>
          <w:szCs w:val="24"/>
          <w:lang w:val="ru-RU"/>
        </w:rPr>
        <w:t>протоколів</w:t>
      </w:r>
      <w:proofErr w:type="spellEnd"/>
      <w:r w:rsidRPr="00B8795F">
        <w:rPr>
          <w:rFonts w:eastAsiaTheme="majorEastAsia" w:cstheme="minorHAnsi"/>
          <w:b/>
          <w:sz w:val="24"/>
          <w:szCs w:val="24"/>
          <w:lang w:val="ru-RU"/>
        </w:rPr>
        <w:t xml:space="preserve"> за темою «</w:t>
      </w:r>
      <w:proofErr w:type="spellStart"/>
      <w:r w:rsidRPr="00B8795F">
        <w:rPr>
          <w:rFonts w:eastAsiaTheme="majorEastAsia" w:cstheme="minorHAnsi"/>
          <w:b/>
          <w:sz w:val="24"/>
          <w:szCs w:val="24"/>
          <w:lang w:val="ru-RU"/>
        </w:rPr>
        <w:t>Бойова</w:t>
      </w:r>
      <w:proofErr w:type="spellEnd"/>
      <w:r w:rsidRPr="00B8795F">
        <w:rPr>
          <w:rFonts w:eastAsiaTheme="majorEastAsia" w:cstheme="minorHAnsi"/>
          <w:b/>
          <w:sz w:val="24"/>
          <w:szCs w:val="24"/>
          <w:lang w:val="ru-RU"/>
        </w:rPr>
        <w:t xml:space="preserve"> травма»</w:t>
      </w:r>
      <w:bookmarkStart w:id="4" w:name="40"/>
      <w:bookmarkStart w:id="5" w:name="_GoBack"/>
      <w:bookmarkEnd w:id="3"/>
      <w:bookmarkEnd w:id="5"/>
    </w:p>
    <w:p w:rsidR="00B8795F" w:rsidRPr="00B8795F" w:rsidRDefault="00B8795F" w:rsidP="00B8795F">
      <w:pPr>
        <w:pStyle w:val="a4"/>
        <w:spacing w:before="0" w:beforeAutospacing="0" w:after="300" w:afterAutospacing="0" w:line="360" w:lineRule="atLeast"/>
        <w:rPr>
          <w:rFonts w:asciiTheme="minorHAnsi" w:hAnsiTheme="minorHAnsi" w:cstheme="minorHAnsi"/>
          <w:lang w:val="ru-RU"/>
        </w:rPr>
      </w:pP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Відповідно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до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статті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14</w:t>
      </w:r>
      <w:r w:rsidRPr="00B8795F">
        <w:rPr>
          <w:rFonts w:asciiTheme="minorHAnsi" w:hAnsiTheme="minorHAnsi" w:cstheme="minorHAnsi"/>
          <w:color w:val="000000"/>
          <w:shd w:val="clear" w:color="auto" w:fill="FFFFFF"/>
          <w:vertAlign w:val="superscript"/>
          <w:lang w:val="ru-RU"/>
        </w:rPr>
        <w:t>1</w:t>
      </w:r>
      <w:r w:rsidRPr="00B8795F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Основ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законодавства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України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про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охорону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здоров’я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, абзацу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п’ятнадцятого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підпункту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10 пункту 4 та пункту 8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Положення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про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Міністерство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охорони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здоров’я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України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,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затвердженого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постановою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Кабінету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Міністрів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України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від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25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березня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2015 року № 267 (в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редакції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постанови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Кабінету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Міністрів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України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від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24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січня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2020 року № 90),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пунктів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2.4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розділу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ІІ та 3.6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розділу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ІІІ Методики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розробки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та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впровадження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медичних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стандартів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медичної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допомоги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на засадах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доказової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медицини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,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затвердженої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наказом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Міністерства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охорони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здоров’я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України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від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28 вересня 2012 року № 751,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зареєстрованої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в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Міністерстві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юстиції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України</w:t>
      </w:r>
      <w:proofErr w:type="spellEnd"/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29 листопада 2012 року за №</w:t>
      </w:r>
      <w:r w:rsidRPr="00B8795F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B8795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2001/22313,</w:t>
      </w:r>
      <w:r w:rsidRPr="00B8795F">
        <w:rPr>
          <w:rFonts w:asciiTheme="minorHAnsi" w:hAnsiTheme="minorHAnsi" w:cstheme="minorHAnsi"/>
          <w:color w:val="000000"/>
          <w:lang w:val="ru-RU"/>
        </w:rPr>
        <w:t>ПОГОДЖЕНО</w:t>
      </w:r>
      <w:r w:rsidRPr="00B8795F">
        <w:rPr>
          <w:rFonts w:asciiTheme="minorHAnsi" w:hAnsiTheme="minorHAnsi" w:cstheme="minorHAnsi"/>
          <w:lang w:val="ru-RU"/>
        </w:rPr>
        <w:br/>
      </w:r>
      <w:bookmarkStart w:id="6" w:name="144"/>
      <w:bookmarkEnd w:id="4"/>
    </w:p>
    <w:p w:rsidR="00B8795F" w:rsidRPr="00B8795F" w:rsidRDefault="00B8795F" w:rsidP="00B8795F">
      <w:pPr>
        <w:pStyle w:val="a4"/>
        <w:spacing w:before="0" w:beforeAutospacing="0" w:after="300" w:afterAutospacing="0" w:line="360" w:lineRule="atLeast"/>
        <w:rPr>
          <w:rFonts w:asciiTheme="minorHAnsi" w:hAnsiTheme="minorHAnsi" w:cstheme="minorHAnsi"/>
        </w:rPr>
      </w:pPr>
      <w:r w:rsidRPr="00B8795F">
        <w:rPr>
          <w:rFonts w:asciiTheme="minorHAnsi" w:hAnsiTheme="minorHAnsi" w:cstheme="minorHAnsi"/>
          <w:b/>
        </w:rPr>
        <w:t>Н</w:t>
      </w:r>
      <w:r w:rsidRPr="00B8795F">
        <w:rPr>
          <w:rStyle w:val="a3"/>
          <w:rFonts w:asciiTheme="minorHAnsi" w:hAnsiTheme="minorHAnsi" w:cstheme="minorHAnsi"/>
        </w:rPr>
        <w:t>АКАЗУЮ: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Fonts w:asciiTheme="minorHAnsi" w:hAnsiTheme="minorHAnsi" w:cstheme="minorHAnsi"/>
        </w:rPr>
        <w:t>1. Затвердити нові клінічні протоколи за темою «Бойова травма», що додаються: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Fonts w:asciiTheme="minorHAnsi" w:hAnsiTheme="minorHAnsi" w:cstheme="minorHAnsi"/>
        </w:rPr>
        <w:t>1) «Ампутація: оцінка та лікування (бойові поранення)»;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Fonts w:asciiTheme="minorHAnsi" w:hAnsiTheme="minorHAnsi" w:cstheme="minorHAnsi"/>
        </w:rPr>
        <w:t>2) «Гостра дихальна недостатність (бойові поранення)»;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Fonts w:asciiTheme="minorHAnsi" w:hAnsiTheme="minorHAnsi" w:cstheme="minorHAnsi"/>
        </w:rPr>
        <w:t>3) «Нейрохірургія і тяжка травма голови (бойові поранення)»;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Fonts w:asciiTheme="minorHAnsi" w:hAnsiTheme="minorHAnsi" w:cstheme="minorHAnsi"/>
        </w:rPr>
        <w:t>4) «Переломи кісток кінцівок (бойові поранення)»;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Fonts w:asciiTheme="minorHAnsi" w:hAnsiTheme="minorHAnsi" w:cstheme="minorHAnsi"/>
        </w:rPr>
        <w:t>5) «Лікування переломів кісток таза (бойові поранення)»;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Fonts w:asciiTheme="minorHAnsi" w:hAnsiTheme="minorHAnsi" w:cstheme="minorHAnsi"/>
        </w:rPr>
        <w:t xml:space="preserve">6) «Невідкладна реанімаційна </w:t>
      </w:r>
      <w:proofErr w:type="spellStart"/>
      <w:r w:rsidRPr="00B8795F">
        <w:rPr>
          <w:rFonts w:asciiTheme="minorHAnsi" w:hAnsiTheme="minorHAnsi" w:cstheme="minorHAnsi"/>
        </w:rPr>
        <w:t>торакотомія</w:t>
      </w:r>
      <w:proofErr w:type="spellEnd"/>
      <w:r w:rsidRPr="00B8795F">
        <w:rPr>
          <w:rFonts w:asciiTheme="minorHAnsi" w:hAnsiTheme="minorHAnsi" w:cstheme="minorHAnsi"/>
        </w:rPr>
        <w:t xml:space="preserve"> (бойові поранення)».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Fonts w:asciiTheme="minorHAnsi" w:hAnsiTheme="minorHAnsi" w:cstheme="minorHAnsi"/>
        </w:rPr>
        <w:t xml:space="preserve">2. Департаменту медичних послуг (Тетяні </w:t>
      </w:r>
      <w:proofErr w:type="spellStart"/>
      <w:r w:rsidRPr="00B8795F">
        <w:rPr>
          <w:rFonts w:asciiTheme="minorHAnsi" w:hAnsiTheme="minorHAnsi" w:cstheme="minorHAnsi"/>
        </w:rPr>
        <w:t>Орабіні</w:t>
      </w:r>
      <w:proofErr w:type="spellEnd"/>
      <w:r w:rsidRPr="00B8795F">
        <w:rPr>
          <w:rFonts w:asciiTheme="minorHAnsi" w:hAnsiTheme="minorHAnsi" w:cstheme="minorHAnsi"/>
        </w:rPr>
        <w:t xml:space="preserve">) забезпечити оприлюднення цього наказу на офіційному </w:t>
      </w:r>
      <w:proofErr w:type="spellStart"/>
      <w:r w:rsidRPr="00B8795F">
        <w:rPr>
          <w:rFonts w:asciiTheme="minorHAnsi" w:hAnsiTheme="minorHAnsi" w:cstheme="minorHAnsi"/>
        </w:rPr>
        <w:t>вебсайті</w:t>
      </w:r>
      <w:proofErr w:type="spellEnd"/>
      <w:r w:rsidRPr="00B8795F">
        <w:rPr>
          <w:rFonts w:asciiTheme="minorHAnsi" w:hAnsiTheme="minorHAnsi" w:cstheme="minorHAnsi"/>
        </w:rPr>
        <w:t xml:space="preserve"> Міністерства охорони здоров’я України.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Fonts w:asciiTheme="minorHAnsi" w:hAnsiTheme="minorHAnsi" w:cstheme="minorHAnsi"/>
        </w:rPr>
        <w:t xml:space="preserve">3. Державному підприємству «Державний експертний центр Міністерства охорони здоров'я України» (Михайлу Бабенку) забезпечити внесення нових клінічних протоколів за </w:t>
      </w:r>
      <w:r w:rsidRPr="00B8795F">
        <w:rPr>
          <w:rFonts w:asciiTheme="minorHAnsi" w:hAnsiTheme="minorHAnsi" w:cstheme="minorHAnsi"/>
        </w:rPr>
        <w:lastRenderedPageBreak/>
        <w:t>темою «Бойова травма», затверджених пунктом 1 цього наказу, до Реєстру медико-технологічних документів зі стандартизації медичної допомоги.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Fonts w:asciiTheme="minorHAnsi" w:hAnsiTheme="minorHAnsi" w:cstheme="minorHAnsi"/>
        </w:rPr>
        <w:t>4. Контроль за виконанням цього наказу залишаю за собою.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Style w:val="a3"/>
          <w:rFonts w:asciiTheme="minorHAnsi" w:hAnsiTheme="minorHAnsi" w:cstheme="minorHAnsi"/>
        </w:rPr>
        <w:t> </w:t>
      </w: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</w:p>
    <w:p w:rsidR="00B8795F" w:rsidRPr="00B8795F" w:rsidRDefault="00B8795F" w:rsidP="00B8795F">
      <w:pPr>
        <w:pStyle w:val="ql-align-justify"/>
        <w:spacing w:before="0" w:beforeAutospacing="0" w:after="300" w:afterAutospacing="0" w:line="360" w:lineRule="atLeast"/>
        <w:jc w:val="both"/>
        <w:rPr>
          <w:rFonts w:asciiTheme="minorHAnsi" w:hAnsiTheme="minorHAnsi" w:cstheme="minorHAnsi"/>
        </w:rPr>
      </w:pPr>
      <w:r w:rsidRPr="00B8795F">
        <w:rPr>
          <w:rStyle w:val="a3"/>
          <w:rFonts w:asciiTheme="minorHAnsi" w:hAnsiTheme="minorHAnsi" w:cstheme="minorHAnsi"/>
        </w:rPr>
        <w:t>Перший заступник Міністра                                              Сергій ДУБРОВ</w:t>
      </w:r>
    </w:p>
    <w:bookmarkEnd w:id="6"/>
    <w:p w:rsidR="00137F20" w:rsidRPr="00B8795F" w:rsidRDefault="00137F20">
      <w:pPr>
        <w:rPr>
          <w:rFonts w:cstheme="minorHAnsi"/>
          <w:sz w:val="24"/>
          <w:szCs w:val="24"/>
        </w:rPr>
      </w:pPr>
    </w:p>
    <w:sectPr w:rsidR="00137F20" w:rsidRPr="00B8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F"/>
    <w:rsid w:val="00137F20"/>
    <w:rsid w:val="00B8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400E"/>
  <w15:chartTrackingRefBased/>
  <w15:docId w15:val="{C495183D-73E9-4A59-8F4E-6D805841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95F"/>
    <w:pPr>
      <w:spacing w:after="200" w:line="276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7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9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a3">
    <w:name w:val="Strong"/>
    <w:basedOn w:val="a0"/>
    <w:uiPriority w:val="22"/>
    <w:qFormat/>
    <w:rsid w:val="00B8795F"/>
    <w:rPr>
      <w:b/>
      <w:bCs/>
    </w:rPr>
  </w:style>
  <w:style w:type="paragraph" w:styleId="a4">
    <w:name w:val="Normal (Web)"/>
    <w:basedOn w:val="a"/>
    <w:uiPriority w:val="99"/>
    <w:semiHidden/>
    <w:unhideWhenUsed/>
    <w:rsid w:val="00B8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ql-align-justify">
    <w:name w:val="ql-align-justify"/>
    <w:basedOn w:val="a"/>
    <w:rsid w:val="00B8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dc:description/>
  <cp:lastModifiedBy>s2</cp:lastModifiedBy>
  <cp:revision>1</cp:revision>
  <dcterms:created xsi:type="dcterms:W3CDTF">2024-07-24T05:59:00Z</dcterms:created>
  <dcterms:modified xsi:type="dcterms:W3CDTF">2024-07-24T06:00:00Z</dcterms:modified>
</cp:coreProperties>
</file>