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B" w:rsidRDefault="006A7F60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98B" w:rsidRDefault="006A7F6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4598B" w:rsidRDefault="006A7F6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24598B" w:rsidRDefault="006A7F60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26 </w:t>
      </w:r>
      <w:r>
        <w:rPr>
          <w:rFonts w:ascii="Arial"/>
          <w:b/>
          <w:color w:val="000000"/>
          <w:sz w:val="18"/>
        </w:rPr>
        <w:t>травня</w:t>
      </w:r>
      <w:r>
        <w:rPr>
          <w:rFonts w:ascii="Arial"/>
          <w:b/>
          <w:color w:val="000000"/>
          <w:sz w:val="18"/>
        </w:rPr>
        <w:t xml:space="preserve"> 2023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535</w:t>
      </w:r>
    </w:p>
    <w:p w:rsidR="0024598B" w:rsidRDefault="006A7F60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24598B" w:rsidRDefault="006A7F60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24598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13" w:name="14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14" w:name="15"/>
            <w:bookmarkEnd w:id="1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4"/>
      </w:tr>
    </w:tbl>
    <w:p w:rsidR="0024598B" w:rsidRDefault="006A7F60">
      <w:r>
        <w:br/>
      </w:r>
    </w:p>
    <w:p w:rsidR="0024598B" w:rsidRDefault="006A7F60">
      <w:pPr>
        <w:spacing w:after="0"/>
        <w:ind w:firstLine="240"/>
      </w:pPr>
      <w:bookmarkStart w:id="15" w:name="16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24598B" w:rsidRDefault="006A7F60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 </w:t>
      </w:r>
    </w:p>
    <w:p w:rsidR="0024598B" w:rsidRDefault="006A7F60">
      <w:pPr>
        <w:spacing w:after="0"/>
        <w:ind w:firstLine="240"/>
        <w:jc w:val="right"/>
      </w:pPr>
      <w:bookmarkStart w:id="17" w:name="18"/>
      <w:bookmarkEnd w:id="1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</w:t>
      </w:r>
    </w:p>
    <w:p w:rsidR="0024598B" w:rsidRDefault="006A7F60">
      <w:pPr>
        <w:pStyle w:val="3"/>
        <w:spacing w:after="0"/>
        <w:jc w:val="center"/>
      </w:pPr>
      <w:bookmarkStart w:id="18" w:name="19"/>
      <w:bookmarkEnd w:id="17"/>
      <w:r>
        <w:rPr>
          <w:rFonts w:ascii="Arial"/>
          <w:color w:val="000000"/>
          <w:sz w:val="27"/>
        </w:rPr>
        <w:t>ТЕХНІЧНИЙ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</w:t>
      </w:r>
      <w:r>
        <w:br/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pStyle w:val="3"/>
        <w:spacing w:after="0"/>
        <w:jc w:val="center"/>
      </w:pPr>
      <w:bookmarkStart w:id="19" w:name="20"/>
      <w:bookmarkEnd w:id="18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24598B" w:rsidRDefault="006A7F60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вогнегасні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пожежне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1764;</w:t>
      </w:r>
    </w:p>
    <w:p w:rsidR="0024598B" w:rsidRDefault="006A7F60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орієнтувально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вогнестійкі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захисно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герметичні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каркасні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пневмокаркасні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палатки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тидимового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сигналізатори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вогнеперешкоджальна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вогнеущільнювальна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вогнезахисна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антипіренна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</w:t>
      </w:r>
      <w:r>
        <w:rPr>
          <w:rFonts w:ascii="Arial"/>
          <w:color w:val="000000"/>
          <w:sz w:val="18"/>
        </w:rPr>
        <w:t>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1764.</w:t>
      </w:r>
    </w:p>
    <w:p w:rsidR="0024598B" w:rsidRDefault="006A7F60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:rsidR="0024598B" w:rsidRDefault="006A7F60">
      <w:pPr>
        <w:pStyle w:val="3"/>
        <w:spacing w:after="0"/>
        <w:jc w:val="center"/>
      </w:pPr>
      <w:bookmarkStart w:id="49" w:name="50"/>
      <w:bookmarkEnd w:id="48"/>
      <w:r>
        <w:rPr>
          <w:rFonts w:ascii="Arial"/>
          <w:color w:val="000000"/>
          <w:sz w:val="27"/>
        </w:rPr>
        <w:t>Суттєві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24598B" w:rsidRDefault="006A7F60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24598B" w:rsidRDefault="006A7F60">
      <w:pPr>
        <w:pStyle w:val="3"/>
        <w:spacing w:after="0"/>
        <w:jc w:val="center"/>
      </w:pPr>
      <w:bookmarkStart w:id="51" w:name="52"/>
      <w:bookmarkEnd w:id="50"/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24598B" w:rsidRDefault="006A7F60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53" w:name="54"/>
      <w:bookmarkEnd w:id="52"/>
      <w:r>
        <w:rPr>
          <w:rFonts w:ascii="Arial"/>
          <w:color w:val="000000"/>
          <w:sz w:val="27"/>
        </w:rPr>
        <w:t>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</w:p>
    <w:p w:rsidR="0024598B" w:rsidRDefault="006A7F60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57" w:name="58"/>
      <w:bookmarkEnd w:id="56"/>
      <w:r>
        <w:rPr>
          <w:rFonts w:ascii="Arial"/>
          <w:color w:val="000000"/>
          <w:sz w:val="27"/>
        </w:rPr>
        <w:lastRenderedPageBreak/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</w:p>
    <w:p w:rsidR="0024598B" w:rsidRDefault="006A7F60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24598B" w:rsidRDefault="006A7F60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розбірливими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68" w:name="69"/>
      <w:bookmarkEnd w:id="67"/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імпортерів</w:t>
      </w:r>
    </w:p>
    <w:p w:rsidR="0024598B" w:rsidRDefault="006A7F60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lastRenderedPageBreak/>
        <w:t xml:space="preserve">21.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</w:t>
      </w:r>
      <w:r>
        <w:rPr>
          <w:rFonts w:ascii="Arial"/>
          <w:color w:val="000000"/>
          <w:sz w:val="18"/>
        </w:rPr>
        <w:t>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24598B" w:rsidRDefault="006A7F60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79" w:name="80"/>
      <w:bookmarkEnd w:id="78"/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розповсюджувачів</w:t>
      </w:r>
    </w:p>
    <w:p w:rsidR="0024598B" w:rsidRDefault="006A7F60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24598B" w:rsidRDefault="006A7F60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86" w:name="87"/>
      <w:bookmarkEnd w:id="85"/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розповсюджувачів</w:t>
      </w:r>
    </w:p>
    <w:p w:rsidR="0024598B" w:rsidRDefault="006A7F60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11 - 19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88" w:name="89"/>
      <w:bookmarkEnd w:id="87"/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представників</w:t>
      </w:r>
    </w:p>
    <w:p w:rsidR="0024598B" w:rsidRDefault="006A7F60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</w:t>
      </w:r>
      <w:r>
        <w:rPr>
          <w:rFonts w:ascii="Arial"/>
          <w:color w:val="000000"/>
          <w:sz w:val="18"/>
        </w:rPr>
        <w:t>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95" w:name="96"/>
      <w:bookmarkEnd w:id="94"/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24598B" w:rsidRDefault="006A7F60">
      <w:pPr>
        <w:spacing w:after="0"/>
        <w:ind w:firstLine="240"/>
      </w:pPr>
      <w:bookmarkStart w:id="96" w:name="97"/>
      <w:bookmarkEnd w:id="95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99" w:name="100"/>
      <w:bookmarkEnd w:id="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00" w:name="101"/>
      <w:bookmarkEnd w:id="99"/>
      <w:r>
        <w:rPr>
          <w:rFonts w:ascii="Arial"/>
          <w:color w:val="000000"/>
          <w:sz w:val="27"/>
        </w:rPr>
        <w:lastRenderedPageBreak/>
        <w:t>Презумпція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03" w:name="104"/>
      <w:bookmarkEnd w:id="102"/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625</w:t>
      </w:r>
      <w:r>
        <w:rPr>
          <w:rFonts w:ascii="Arial"/>
          <w:color w:val="000000"/>
          <w:sz w:val="18"/>
        </w:rPr>
        <w:t>).</w:t>
      </w:r>
    </w:p>
    <w:p w:rsidR="0024598B" w:rsidRDefault="006A7F60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A);</w:t>
      </w:r>
    </w:p>
    <w:p w:rsidR="0024598B" w:rsidRDefault="006A7F60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B)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C2);</w:t>
      </w:r>
    </w:p>
    <w:p w:rsidR="0024598B" w:rsidRDefault="006A7F60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D);</w:t>
      </w:r>
    </w:p>
    <w:p w:rsidR="0024598B" w:rsidRDefault="006A7F60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E);</w:t>
      </w:r>
    </w:p>
    <w:p w:rsidR="0024598B" w:rsidRDefault="006A7F60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F);</w:t>
      </w:r>
    </w:p>
    <w:p w:rsidR="0024598B" w:rsidRDefault="006A7F60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G).</w:t>
      </w:r>
    </w:p>
    <w:p w:rsidR="0024598B" w:rsidRDefault="006A7F60">
      <w:pPr>
        <w:pStyle w:val="3"/>
        <w:spacing w:after="0"/>
        <w:jc w:val="center"/>
      </w:pPr>
      <w:bookmarkStart w:id="113" w:name="114"/>
      <w:bookmarkEnd w:id="112"/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24598B" w:rsidRDefault="006A7F60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>40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24598B" w:rsidRDefault="006A7F60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19" w:name="120"/>
      <w:bookmarkEnd w:id="118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регламентам</w:t>
      </w:r>
    </w:p>
    <w:p w:rsidR="0024598B" w:rsidRDefault="006A7F60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24598B" w:rsidRDefault="006A7F60">
      <w:pPr>
        <w:pStyle w:val="3"/>
        <w:spacing w:after="0"/>
        <w:jc w:val="center"/>
      </w:pPr>
      <w:bookmarkStart w:id="121" w:name="122"/>
      <w:bookmarkEnd w:id="120"/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регламентам</w:t>
      </w:r>
    </w:p>
    <w:p w:rsidR="0024598B" w:rsidRDefault="006A7F60">
      <w:pPr>
        <w:spacing w:after="0"/>
        <w:ind w:firstLine="240"/>
      </w:pPr>
      <w:bookmarkStart w:id="122" w:name="123"/>
      <w:bookmarkEnd w:id="121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розбірливим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незмивним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</w:t>
      </w:r>
      <w:r>
        <w:rPr>
          <w:rFonts w:ascii="Arial"/>
          <w:color w:val="000000"/>
          <w:sz w:val="18"/>
        </w:rPr>
        <w:t>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23" w:name="124"/>
      <w:bookmarkEnd w:id="12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lastRenderedPageBreak/>
        <w:t xml:space="preserve">48.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27" w:name="128"/>
      <w:bookmarkEnd w:id="126"/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24598B" w:rsidRDefault="006A7F60">
      <w:pPr>
        <w:spacing w:after="0"/>
        <w:ind w:firstLine="240"/>
      </w:pPr>
      <w:bookmarkStart w:id="128" w:name="129"/>
      <w:bookmarkEnd w:id="12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24598B" w:rsidRDefault="006A7F60">
      <w:pPr>
        <w:spacing w:after="0"/>
        <w:ind w:firstLine="240"/>
      </w:pPr>
      <w:bookmarkStart w:id="129" w:name="130"/>
      <w:bookmarkEnd w:id="128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537).</w:t>
      </w:r>
    </w:p>
    <w:p w:rsidR="0024598B" w:rsidRDefault="006A7F60">
      <w:pPr>
        <w:pStyle w:val="3"/>
        <w:spacing w:after="0"/>
        <w:jc w:val="center"/>
      </w:pPr>
      <w:bookmarkStart w:id="130" w:name="131"/>
      <w:bookmarkEnd w:id="129"/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дочірніх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24598B" w:rsidRDefault="006A7F60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</w:t>
      </w:r>
      <w:r>
        <w:rPr>
          <w:rFonts w:ascii="Arial"/>
          <w:color w:val="000000"/>
          <w:sz w:val="18"/>
        </w:rPr>
        <w:t>рнє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</w:t>
      </w:r>
      <w:r>
        <w:rPr>
          <w:rFonts w:ascii="Arial"/>
          <w:color w:val="000000"/>
          <w:sz w:val="18"/>
        </w:rPr>
        <w:t>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35" w:name="136"/>
      <w:bookmarkEnd w:id="134"/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24598B" w:rsidRDefault="006A7F60">
      <w:pPr>
        <w:spacing w:after="0"/>
        <w:ind w:firstLine="240"/>
      </w:pPr>
      <w:bookmarkStart w:id="136" w:name="137"/>
      <w:bookmarkEnd w:id="135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39" w:name="140"/>
      <w:bookmarkEnd w:id="138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43" w:name="144"/>
      <w:bookmarkEnd w:id="142"/>
      <w:r>
        <w:rPr>
          <w:rFonts w:ascii="Arial"/>
          <w:color w:val="000000"/>
          <w:sz w:val="27"/>
        </w:rPr>
        <w:t>Апеляція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24598B" w:rsidRDefault="006A7F60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24598B" w:rsidRDefault="006A7F60">
      <w:pPr>
        <w:pStyle w:val="3"/>
        <w:spacing w:after="0"/>
        <w:jc w:val="center"/>
      </w:pPr>
      <w:bookmarkStart w:id="145" w:name="146"/>
      <w:bookmarkEnd w:id="144"/>
      <w:r>
        <w:rPr>
          <w:rFonts w:ascii="Arial"/>
          <w:color w:val="000000"/>
          <w:sz w:val="27"/>
        </w:rPr>
        <w:lastRenderedPageBreak/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24598B" w:rsidRDefault="006A7F60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24598B" w:rsidRDefault="006A7F60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48" w:name="149"/>
      <w:bookmarkEnd w:id="147"/>
      <w:r>
        <w:rPr>
          <w:rFonts w:ascii="Arial"/>
          <w:color w:val="000000"/>
          <w:sz w:val="27"/>
        </w:rPr>
        <w:t>Координа</w:t>
      </w:r>
      <w:r>
        <w:rPr>
          <w:rFonts w:ascii="Arial"/>
          <w:color w:val="000000"/>
          <w:sz w:val="27"/>
        </w:rPr>
        <w:t>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24598B" w:rsidRDefault="006A7F60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pStyle w:val="3"/>
        <w:spacing w:after="0"/>
        <w:jc w:val="center"/>
      </w:pPr>
      <w:bookmarkStart w:id="153" w:name="154"/>
      <w:bookmarkEnd w:id="152"/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44 - 46,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</w:t>
      </w:r>
      <w:r>
        <w:rPr>
          <w:rFonts w:ascii="Arial"/>
          <w:color w:val="000000"/>
          <w:sz w:val="18"/>
        </w:rPr>
        <w:t>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 xml:space="preserve"> </w:t>
      </w:r>
    </w:p>
    <w:p w:rsidR="0024598B" w:rsidRDefault="006A7F60">
      <w:pPr>
        <w:spacing w:after="0"/>
        <w:ind w:firstLine="240"/>
        <w:jc w:val="right"/>
      </w:pPr>
      <w:bookmarkStart w:id="166" w:name="167"/>
      <w:bookmarkEnd w:id="16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24598B" w:rsidRDefault="006A7F60">
      <w:pPr>
        <w:pStyle w:val="3"/>
        <w:spacing w:after="0"/>
        <w:jc w:val="center"/>
      </w:pPr>
      <w:bookmarkStart w:id="167" w:name="168"/>
      <w:bookmarkEnd w:id="166"/>
      <w:r>
        <w:rPr>
          <w:rFonts w:ascii="Arial"/>
          <w:color w:val="000000"/>
          <w:sz w:val="27"/>
        </w:rPr>
        <w:t>СУТТЄВІ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24598B" w:rsidRDefault="006A7F60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рятують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3" w:name="174"/>
      <w:bookmarkEnd w:id="1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швидку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6" w:name="177"/>
      <w:bookmarkEnd w:id="1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24598B" w:rsidRDefault="006A7F60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4" w:name="185"/>
      <w:bookmarkEnd w:id="18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7" w:name="188"/>
      <w:bookmarkEnd w:id="18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8" w:name="189"/>
      <w:bookmarkEnd w:id="18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взаємозамінність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24598B" w:rsidRDefault="006A7F60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24598B" w:rsidRDefault="006A7F60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t xml:space="preserve"> </w:t>
      </w:r>
    </w:p>
    <w:p w:rsidR="0024598B" w:rsidRDefault="006A7F60">
      <w:pPr>
        <w:spacing w:after="0"/>
        <w:ind w:firstLine="240"/>
        <w:jc w:val="right"/>
      </w:pPr>
      <w:bookmarkStart w:id="192" w:name="193"/>
      <w:bookmarkEnd w:id="1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24598B" w:rsidRDefault="006A7F60">
      <w:pPr>
        <w:pStyle w:val="3"/>
        <w:spacing w:after="0"/>
        <w:jc w:val="center"/>
      </w:pPr>
      <w:bookmarkStart w:id="193" w:name="194"/>
      <w:bookmarkEnd w:id="192"/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(N </w:t>
      </w:r>
      <w:r>
        <w:rPr>
          <w:rFonts w:ascii="Arial"/>
          <w:color w:val="000000"/>
          <w:sz w:val="27"/>
        </w:rPr>
        <w:t>ХХХХ</w:t>
      </w:r>
      <w:r>
        <w:rPr>
          <w:rFonts w:ascii="Arial"/>
          <w:color w:val="000000"/>
          <w:sz w:val="27"/>
        </w:rPr>
        <w:t>)*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5"/>
        <w:gridCol w:w="2836"/>
        <w:gridCol w:w="3172"/>
      </w:tblGrid>
      <w:tr w:rsidR="0024598B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24598B" w:rsidRDefault="006A7F60">
            <w:pPr>
              <w:spacing w:after="0"/>
            </w:pPr>
            <w:bookmarkStart w:id="194" w:name="195"/>
            <w:bookmarkEnd w:id="19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торговельна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модифікація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артикул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>**): 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24598B" w:rsidRDefault="006A7F60">
            <w:pPr>
              <w:spacing w:after="0"/>
            </w:pPr>
            <w:bookmarkStart w:id="195" w:name="196"/>
            <w:bookmarkEnd w:id="19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24598B" w:rsidRDefault="006A7F60">
            <w:pPr>
              <w:spacing w:after="0"/>
            </w:pPr>
            <w:bookmarkStart w:id="196" w:name="197"/>
            <w:bookmarkEnd w:id="19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4598B" w:rsidRDefault="006A7F60">
            <w:pPr>
              <w:spacing w:after="0"/>
            </w:pPr>
            <w:bookmarkStart w:id="197" w:name="198"/>
            <w:bookmarkEnd w:id="19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ідентифікація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простежуваність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чітке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зображення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24598B" w:rsidRDefault="006A7F60">
            <w:pPr>
              <w:spacing w:after="0"/>
            </w:pPr>
            <w:bookmarkStart w:id="198" w:name="199"/>
            <w:bookmarkEnd w:id="19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24598B" w:rsidRDefault="006A7F60">
            <w:pPr>
              <w:spacing w:after="0"/>
            </w:pPr>
            <w:bookmarkStart w:id="199" w:name="200"/>
            <w:bookmarkEnd w:id="19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24598B" w:rsidRDefault="006A7F60">
            <w:pPr>
              <w:spacing w:after="0"/>
            </w:pPr>
            <w:bookmarkStart w:id="200" w:name="201"/>
            <w:bookmarkEnd w:id="19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24598B" w:rsidRDefault="006A7F60">
            <w:pPr>
              <w:spacing w:after="0"/>
            </w:pPr>
            <w:bookmarkStart w:id="201" w:name="202"/>
            <w:bookmarkEnd w:id="20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24598B" w:rsidRDefault="006A7F60">
            <w:pPr>
              <w:spacing w:after="0"/>
            </w:pPr>
            <w:bookmarkStart w:id="202" w:name="203"/>
            <w:bookmarkEnd w:id="20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24598B" w:rsidRDefault="006A7F60">
            <w:pPr>
              <w:spacing w:after="0"/>
            </w:pPr>
            <w:bookmarkStart w:id="203" w:name="204"/>
            <w:bookmarkEnd w:id="202"/>
            <w:r>
              <w:rPr>
                <w:rFonts w:ascii="Arial"/>
                <w:color w:val="000000"/>
                <w:sz w:val="15"/>
              </w:rPr>
              <w:t>Підписано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дорученням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___ 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3"/>
      </w:tr>
      <w:tr w:rsidR="0024598B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24598B" w:rsidRDefault="006A7F60">
            <w:pPr>
              <w:spacing w:after="0"/>
            </w:pPr>
            <w:bookmarkStart w:id="204" w:name="205"/>
            <w:r>
              <w:rPr>
                <w:rFonts w:ascii="Arial"/>
                <w:color w:val="000000"/>
                <w:sz w:val="15"/>
              </w:rPr>
              <w:lastRenderedPageBreak/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8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05" w:name="206"/>
            <w:bookmarkEnd w:id="20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06" w:name="207"/>
            <w:bookmarkEnd w:id="205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6"/>
      </w:tr>
      <w:tr w:rsidR="0024598B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24598B" w:rsidRDefault="006A7F60">
            <w:pPr>
              <w:spacing w:after="0"/>
            </w:pPr>
            <w:bookmarkStart w:id="207" w:name="208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4598B" w:rsidRDefault="006A7F60">
            <w:pPr>
              <w:spacing w:after="0"/>
            </w:pPr>
            <w:bookmarkStart w:id="208" w:name="209"/>
            <w:bookmarkEnd w:id="207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8"/>
      </w:tr>
    </w:tbl>
    <w:p w:rsidR="0024598B" w:rsidRDefault="006A7F60">
      <w:r>
        <w:br/>
      </w:r>
    </w:p>
    <w:p w:rsidR="0024598B" w:rsidRDefault="006A7F60">
      <w:pPr>
        <w:spacing w:after="0"/>
        <w:ind w:firstLine="240"/>
      </w:pPr>
      <w:bookmarkStart w:id="209" w:name="210"/>
      <w:r>
        <w:rPr>
          <w:rFonts w:ascii="Arial"/>
          <w:color w:val="000000"/>
          <w:sz w:val="18"/>
        </w:rPr>
        <w:t xml:space="preserve"> </w:t>
      </w:r>
    </w:p>
    <w:p w:rsidR="0024598B" w:rsidRDefault="006A7F60">
      <w:pPr>
        <w:spacing w:after="0"/>
        <w:ind w:firstLine="240"/>
        <w:jc w:val="right"/>
      </w:pPr>
      <w:bookmarkStart w:id="210" w:name="211"/>
      <w:bookmarkEnd w:id="20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</w:t>
      </w:r>
    </w:p>
    <w:p w:rsidR="0024598B" w:rsidRDefault="006A7F60">
      <w:pPr>
        <w:pStyle w:val="3"/>
        <w:spacing w:after="0"/>
        <w:jc w:val="center"/>
      </w:pPr>
      <w:bookmarkStart w:id="211" w:name="212"/>
      <w:bookmarkEnd w:id="210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4598B" w:rsidRDefault="006A7F60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1550;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2457):</w:t>
      </w:r>
    </w:p>
    <w:p w:rsidR="0024598B" w:rsidRDefault="006A7F60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28"/>
        <w:gridCol w:w="4044"/>
        <w:gridCol w:w="2471"/>
      </w:tblGrid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14" w:name="215"/>
            <w:bookmarkEnd w:id="213"/>
            <w:r>
              <w:rPr>
                <w:rFonts w:ascii="Arial"/>
                <w:color w:val="000000"/>
                <w:sz w:val="15"/>
              </w:rPr>
              <w:t>"7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15" w:name="216"/>
            <w:bookmarkEnd w:id="214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535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</w:pPr>
            <w:bookmarkStart w:id="216" w:name="217"/>
            <w:bookmarkEnd w:id="215"/>
            <w:r>
              <w:rPr>
                <w:rFonts w:ascii="Arial"/>
                <w:color w:val="000000"/>
                <w:sz w:val="15"/>
              </w:rPr>
              <w:t>ДСНС</w:t>
            </w:r>
          </w:p>
        </w:tc>
        <w:bookmarkEnd w:id="216"/>
      </w:tr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17" w:name="218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Вогнегасники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18" w:name="219"/>
            <w:bookmarkEnd w:id="217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27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19" w:name="220"/>
            <w:bookmarkEnd w:id="218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219"/>
      </w:tr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20" w:name="221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пожежників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пожежі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21" w:name="222"/>
            <w:bookmarkEnd w:id="220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771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22" w:name="223"/>
            <w:bookmarkEnd w:id="221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222"/>
      </w:tr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23" w:name="224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Кабелі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24" w:name="225"/>
            <w:bookmarkEnd w:id="223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1067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низьковольтного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25" w:name="226"/>
            <w:bookmarkEnd w:id="224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225"/>
      </w:tr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26" w:name="227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Пожежні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27" w:name="228"/>
            <w:bookmarkEnd w:id="226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</w:t>
            </w:r>
            <w:r>
              <w:rPr>
                <w:rFonts w:ascii="Arial"/>
                <w:color w:val="000000"/>
                <w:sz w:val="15"/>
              </w:rPr>
              <w:t>62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28" w:name="229"/>
            <w:bookmarkEnd w:id="227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228"/>
      </w:tr>
      <w:tr w:rsidR="0024598B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24598B" w:rsidRDefault="006A7F60">
            <w:pPr>
              <w:spacing w:after="0"/>
            </w:pPr>
            <w:bookmarkStart w:id="229" w:name="230"/>
            <w:r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Протипожежне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вогнеперешкоджальні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вогнеущільнювальні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вогнезахисні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антипіренні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</w:p>
        </w:tc>
        <w:tc>
          <w:tcPr>
            <w:tcW w:w="4263" w:type="dxa"/>
            <w:vAlign w:val="center"/>
          </w:tcPr>
          <w:p w:rsidR="0024598B" w:rsidRDefault="006A7F60">
            <w:pPr>
              <w:spacing w:after="0"/>
            </w:pPr>
            <w:bookmarkStart w:id="230" w:name="231"/>
            <w:bookmarkEnd w:id="229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1764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>)"</w:t>
            </w:r>
          </w:p>
        </w:tc>
        <w:tc>
          <w:tcPr>
            <w:tcW w:w="2616" w:type="dxa"/>
            <w:vAlign w:val="center"/>
          </w:tcPr>
          <w:p w:rsidR="0024598B" w:rsidRDefault="006A7F60">
            <w:pPr>
              <w:spacing w:after="0"/>
              <w:jc w:val="center"/>
            </w:pPr>
            <w:bookmarkStart w:id="231" w:name="232"/>
            <w:bookmarkEnd w:id="230"/>
            <w:r>
              <w:rPr>
                <w:rFonts w:ascii="Arial"/>
                <w:color w:val="000000"/>
                <w:sz w:val="15"/>
              </w:rPr>
              <w:t>ДСНС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231"/>
      </w:tr>
    </w:tbl>
    <w:p w:rsidR="0024598B" w:rsidRDefault="006A7F60">
      <w:r>
        <w:br/>
      </w:r>
    </w:p>
    <w:p w:rsidR="0024598B" w:rsidRDefault="006A7F60">
      <w:pPr>
        <w:spacing w:after="0"/>
        <w:ind w:firstLine="240"/>
      </w:pPr>
      <w:bookmarkStart w:id="232" w:name="2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)":</w:t>
      </w:r>
    </w:p>
    <w:p w:rsidR="0024598B" w:rsidRDefault="006A7F60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>)";</w:t>
      </w:r>
    </w:p>
    <w:p w:rsidR="0024598B" w:rsidRDefault="006A7F60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)";</w:t>
      </w:r>
    </w:p>
    <w:p w:rsidR="0024598B" w:rsidRDefault="006A7F60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)";</w:t>
      </w:r>
    </w:p>
    <w:p w:rsidR="0024598B" w:rsidRDefault="006A7F60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Низьковольтне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</w:t>
      </w:r>
      <w:r>
        <w:rPr>
          <w:rFonts w:ascii="Arial"/>
          <w:color w:val="000000"/>
          <w:sz w:val="18"/>
        </w:rPr>
        <w:t>тиками</w:t>
      </w:r>
      <w:r>
        <w:rPr>
          <w:rFonts w:ascii="Arial"/>
          <w:color w:val="000000"/>
          <w:sz w:val="18"/>
        </w:rPr>
        <w:t>)".</w:t>
      </w:r>
    </w:p>
    <w:p w:rsidR="0024598B" w:rsidRDefault="006A7F60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3519;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305,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1489;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434):</w:t>
      </w:r>
    </w:p>
    <w:p w:rsidR="0024598B" w:rsidRDefault="006A7F60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позицію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06"/>
        <w:gridCol w:w="5737"/>
      </w:tblGrid>
      <w:tr w:rsidR="0024598B">
        <w:trPr>
          <w:trHeight w:val="30"/>
          <w:tblCellSpacing w:w="0" w:type="auto"/>
        </w:trPr>
        <w:tc>
          <w:tcPr>
            <w:tcW w:w="3683" w:type="dxa"/>
            <w:vAlign w:val="center"/>
          </w:tcPr>
          <w:p w:rsidR="0024598B" w:rsidRDefault="006A7F60">
            <w:pPr>
              <w:spacing w:after="0"/>
            </w:pPr>
            <w:bookmarkStart w:id="239" w:name="240"/>
            <w:bookmarkEnd w:id="238"/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МВС</w:t>
            </w:r>
          </w:p>
        </w:tc>
        <w:tc>
          <w:tcPr>
            <w:tcW w:w="6007" w:type="dxa"/>
            <w:vAlign w:val="center"/>
          </w:tcPr>
          <w:p w:rsidR="0024598B" w:rsidRDefault="006A7F60">
            <w:pPr>
              <w:spacing w:after="0"/>
            </w:pPr>
            <w:bookmarkStart w:id="240" w:name="241"/>
            <w:bookmarkEnd w:id="239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мисливська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холодна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конструктивно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>)"</w:t>
            </w:r>
          </w:p>
        </w:tc>
        <w:bookmarkEnd w:id="240"/>
      </w:tr>
    </w:tbl>
    <w:p w:rsidR="0024598B" w:rsidRDefault="006A7F60">
      <w:r>
        <w:br/>
      </w:r>
    </w:p>
    <w:p w:rsidR="0024598B" w:rsidRDefault="006A7F60">
      <w:pPr>
        <w:spacing w:after="0"/>
        <w:ind w:firstLine="240"/>
      </w:pPr>
      <w:bookmarkStart w:id="241" w:name="242"/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позицією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97"/>
        <w:gridCol w:w="5746"/>
      </w:tblGrid>
      <w:tr w:rsidR="0024598B">
        <w:trPr>
          <w:trHeight w:val="30"/>
          <w:tblCellSpacing w:w="0" w:type="auto"/>
        </w:trPr>
        <w:tc>
          <w:tcPr>
            <w:tcW w:w="3683" w:type="dxa"/>
            <w:vAlign w:val="center"/>
          </w:tcPr>
          <w:p w:rsidR="0024598B" w:rsidRDefault="006A7F60">
            <w:pPr>
              <w:spacing w:after="0"/>
            </w:pPr>
            <w:bookmarkStart w:id="242" w:name="243"/>
            <w:bookmarkEnd w:id="241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МВС</w:t>
            </w:r>
          </w:p>
        </w:tc>
        <w:tc>
          <w:tcPr>
            <w:tcW w:w="6007" w:type="dxa"/>
            <w:vAlign w:val="center"/>
          </w:tcPr>
          <w:p w:rsidR="0024598B" w:rsidRDefault="006A7F60">
            <w:pPr>
              <w:spacing w:after="0"/>
            </w:pPr>
            <w:bookmarkStart w:id="243" w:name="244"/>
            <w:bookmarkEnd w:id="242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мисливська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холодна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конструктивно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зброє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техногенна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гідрометеорологічна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пожежобезпе</w:t>
            </w:r>
            <w:r>
              <w:rPr>
                <w:rFonts w:ascii="Arial"/>
                <w:color w:val="000000"/>
                <w:sz w:val="15"/>
              </w:rPr>
              <w:t>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пожежобезпечності</w:t>
            </w:r>
            <w:r>
              <w:rPr>
                <w:rFonts w:ascii="Arial"/>
                <w:color w:val="000000"/>
                <w:sz w:val="15"/>
              </w:rPr>
              <w:t>)";</w:t>
            </w:r>
          </w:p>
        </w:tc>
        <w:bookmarkEnd w:id="243"/>
      </w:tr>
    </w:tbl>
    <w:p w:rsidR="0024598B" w:rsidRDefault="006A7F60">
      <w:r>
        <w:br/>
      </w:r>
    </w:p>
    <w:p w:rsidR="0024598B" w:rsidRDefault="006A7F60">
      <w:pPr>
        <w:spacing w:after="0"/>
        <w:ind w:firstLine="240"/>
      </w:pPr>
      <w:bookmarkStart w:id="244" w:name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99"/>
        <w:gridCol w:w="5744"/>
      </w:tblGrid>
      <w:tr w:rsidR="0024598B">
        <w:trPr>
          <w:trHeight w:val="30"/>
          <w:tblCellSpacing w:w="0" w:type="auto"/>
        </w:trPr>
        <w:tc>
          <w:tcPr>
            <w:tcW w:w="3683" w:type="dxa"/>
            <w:vAlign w:val="center"/>
          </w:tcPr>
          <w:p w:rsidR="0024598B" w:rsidRDefault="006A7F60">
            <w:pPr>
              <w:spacing w:after="0"/>
            </w:pPr>
            <w:bookmarkStart w:id="245" w:name="246"/>
            <w:bookmarkEnd w:id="244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ДСНС</w:t>
            </w:r>
          </w:p>
        </w:tc>
        <w:tc>
          <w:tcPr>
            <w:tcW w:w="6007" w:type="dxa"/>
            <w:vAlign w:val="center"/>
          </w:tcPr>
          <w:p w:rsidR="0024598B" w:rsidRDefault="006A7F60">
            <w:pPr>
              <w:spacing w:after="0"/>
            </w:pPr>
            <w:bookmarkStart w:id="246" w:name="247"/>
            <w:bookmarkEnd w:id="245"/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техногенна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гідрометеорологічна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пожежобезпечність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пожежобезпечності</w:t>
            </w:r>
            <w:r>
              <w:rPr>
                <w:rFonts w:ascii="Arial"/>
                <w:color w:val="000000"/>
                <w:sz w:val="15"/>
              </w:rPr>
              <w:t>)".</w:t>
            </w:r>
          </w:p>
        </w:tc>
        <w:bookmarkEnd w:id="246"/>
      </w:tr>
    </w:tbl>
    <w:p w:rsidR="0024598B" w:rsidRDefault="006A7F60">
      <w:r>
        <w:br/>
      </w:r>
    </w:p>
    <w:p w:rsidR="0024598B" w:rsidRDefault="006A7F60">
      <w:pPr>
        <w:spacing w:after="0"/>
        <w:jc w:val="center"/>
      </w:pPr>
      <w:bookmarkStart w:id="247" w:name="248"/>
      <w:r>
        <w:rPr>
          <w:rFonts w:ascii="Arial"/>
          <w:color w:val="000000"/>
          <w:sz w:val="18"/>
        </w:rPr>
        <w:t>____________</w:t>
      </w:r>
    </w:p>
    <w:p w:rsidR="0024598B" w:rsidRDefault="0024598B">
      <w:pPr>
        <w:spacing w:after="0"/>
        <w:ind w:firstLine="240"/>
      </w:pPr>
      <w:bookmarkStart w:id="248" w:name="249"/>
      <w:bookmarkEnd w:id="247"/>
    </w:p>
    <w:p w:rsidR="0024598B" w:rsidRDefault="006A7F60">
      <w:bookmarkStart w:id="249" w:name="_GoBack"/>
      <w:bookmarkEnd w:id="248"/>
      <w:bookmarkEnd w:id="249"/>
      <w:r>
        <w:br/>
      </w:r>
    </w:p>
    <w:sectPr w:rsidR="0024598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98B"/>
    <w:rsid w:val="0024598B"/>
    <w:rsid w:val="006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A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25363</Words>
  <Characters>14457</Characters>
  <Application>Microsoft Office Word</Application>
  <DocSecurity>0</DocSecurity>
  <Lines>120</Lines>
  <Paragraphs>79</Paragraphs>
  <ScaleCrop>false</ScaleCrop>
  <Company>*</Company>
  <LinksUpToDate>false</LinksUpToDate>
  <CharactersWithSpaces>39741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tmg25</cp:lastModifiedBy>
  <cp:revision>2</cp:revision>
  <dcterms:created xsi:type="dcterms:W3CDTF">2023-06-05T12:36:00Z</dcterms:created>
  <dcterms:modified xsi:type="dcterms:W3CDTF">2023-06-05T12:36:00Z</dcterms:modified>
</cp:coreProperties>
</file>