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C4" w:rsidRDefault="001F535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8C4" w:rsidRDefault="001F5352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158C4" w:rsidRDefault="001F535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3"/>
        <w:gridCol w:w="2770"/>
        <w:gridCol w:w="3220"/>
      </w:tblGrid>
      <w:tr w:rsidR="008158C4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29.01.2018</w:t>
            </w:r>
          </w:p>
        </w:tc>
        <w:tc>
          <w:tcPr>
            <w:tcW w:w="2907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52</w:t>
            </w:r>
          </w:p>
        </w:tc>
        <w:bookmarkEnd w:id="5"/>
      </w:tr>
    </w:tbl>
    <w:p w:rsidR="008158C4" w:rsidRDefault="001F5352">
      <w:r>
        <w:br/>
      </w:r>
    </w:p>
    <w:p w:rsidR="008158C4" w:rsidRPr="001F5352" w:rsidRDefault="001F5352">
      <w:pPr>
        <w:spacing w:after="0"/>
        <w:jc w:val="center"/>
        <w:rPr>
          <w:lang w:val="ru-RU"/>
        </w:rPr>
      </w:pPr>
      <w:bookmarkStart w:id="6" w:name="7"/>
      <w:r w:rsidRPr="001F5352">
        <w:rPr>
          <w:rFonts w:ascii="Arial"/>
          <w:b/>
          <w:color w:val="000000"/>
          <w:sz w:val="18"/>
          <w:lang w:val="ru-RU"/>
        </w:rPr>
        <w:t>Зареєстровано</w:t>
      </w:r>
      <w:r w:rsidRPr="001F5352">
        <w:rPr>
          <w:rFonts w:ascii="Arial"/>
          <w:b/>
          <w:color w:val="000000"/>
          <w:sz w:val="18"/>
          <w:lang w:val="ru-RU"/>
        </w:rPr>
        <w:t xml:space="preserve"> </w:t>
      </w:r>
      <w:r w:rsidRPr="001F5352">
        <w:rPr>
          <w:rFonts w:ascii="Arial"/>
          <w:b/>
          <w:color w:val="000000"/>
          <w:sz w:val="18"/>
          <w:lang w:val="ru-RU"/>
        </w:rPr>
        <w:t>в</w:t>
      </w:r>
      <w:r w:rsidRPr="001F5352">
        <w:rPr>
          <w:rFonts w:ascii="Arial"/>
          <w:b/>
          <w:color w:val="000000"/>
          <w:sz w:val="18"/>
          <w:lang w:val="ru-RU"/>
        </w:rPr>
        <w:t xml:space="preserve"> </w:t>
      </w:r>
      <w:r w:rsidRPr="001F5352">
        <w:rPr>
          <w:rFonts w:ascii="Arial"/>
          <w:b/>
          <w:color w:val="000000"/>
          <w:sz w:val="18"/>
          <w:lang w:val="ru-RU"/>
        </w:rPr>
        <w:t>Міністерстві</w:t>
      </w:r>
      <w:r w:rsidRPr="001F5352">
        <w:rPr>
          <w:rFonts w:ascii="Arial"/>
          <w:b/>
          <w:color w:val="000000"/>
          <w:sz w:val="18"/>
          <w:lang w:val="ru-RU"/>
        </w:rPr>
        <w:t xml:space="preserve"> </w:t>
      </w:r>
      <w:r w:rsidRPr="001F5352">
        <w:rPr>
          <w:rFonts w:ascii="Arial"/>
          <w:b/>
          <w:color w:val="000000"/>
          <w:sz w:val="18"/>
          <w:lang w:val="ru-RU"/>
        </w:rPr>
        <w:t>юстиції</w:t>
      </w:r>
      <w:r w:rsidRPr="001F5352">
        <w:rPr>
          <w:rFonts w:ascii="Arial"/>
          <w:b/>
          <w:color w:val="000000"/>
          <w:sz w:val="18"/>
          <w:lang w:val="ru-RU"/>
        </w:rPr>
        <w:t xml:space="preserve"> </w:t>
      </w:r>
      <w:r w:rsidRPr="001F5352">
        <w:rPr>
          <w:rFonts w:ascii="Arial"/>
          <w:b/>
          <w:color w:val="000000"/>
          <w:sz w:val="18"/>
          <w:lang w:val="ru-RU"/>
        </w:rPr>
        <w:t>України</w:t>
      </w:r>
      <w:r w:rsidRPr="001F5352">
        <w:rPr>
          <w:lang w:val="ru-RU"/>
        </w:rPr>
        <w:br/>
      </w:r>
      <w:r w:rsidRPr="001F5352">
        <w:rPr>
          <w:rFonts w:ascii="Arial"/>
          <w:b/>
          <w:color w:val="000000"/>
          <w:sz w:val="18"/>
          <w:lang w:val="ru-RU"/>
        </w:rPr>
        <w:t xml:space="preserve">20 </w:t>
      </w:r>
      <w:r w:rsidRPr="001F5352">
        <w:rPr>
          <w:rFonts w:ascii="Arial"/>
          <w:b/>
          <w:color w:val="000000"/>
          <w:sz w:val="18"/>
          <w:lang w:val="ru-RU"/>
        </w:rPr>
        <w:t>лютого</w:t>
      </w:r>
      <w:r w:rsidRPr="001F5352">
        <w:rPr>
          <w:rFonts w:ascii="Arial"/>
          <w:b/>
          <w:color w:val="000000"/>
          <w:sz w:val="18"/>
          <w:lang w:val="ru-RU"/>
        </w:rPr>
        <w:t xml:space="preserve"> 2018 </w:t>
      </w:r>
      <w:r w:rsidRPr="001F5352">
        <w:rPr>
          <w:rFonts w:ascii="Arial"/>
          <w:b/>
          <w:color w:val="000000"/>
          <w:sz w:val="18"/>
          <w:lang w:val="ru-RU"/>
        </w:rPr>
        <w:t>р</w:t>
      </w:r>
      <w:r w:rsidRPr="001F5352">
        <w:rPr>
          <w:rFonts w:ascii="Arial"/>
          <w:b/>
          <w:color w:val="000000"/>
          <w:sz w:val="18"/>
          <w:lang w:val="ru-RU"/>
        </w:rPr>
        <w:t xml:space="preserve">. </w:t>
      </w:r>
      <w:r w:rsidRPr="001F5352">
        <w:rPr>
          <w:rFonts w:ascii="Arial"/>
          <w:b/>
          <w:color w:val="000000"/>
          <w:sz w:val="18"/>
          <w:lang w:val="ru-RU"/>
        </w:rPr>
        <w:t>за</w:t>
      </w:r>
      <w:r w:rsidRPr="001F535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F5352">
        <w:rPr>
          <w:rFonts w:ascii="Arial"/>
          <w:b/>
          <w:color w:val="000000"/>
          <w:sz w:val="18"/>
          <w:lang w:val="ru-RU"/>
        </w:rPr>
        <w:t xml:space="preserve"> 208/31660</w:t>
      </w:r>
    </w:p>
    <w:p w:rsidR="008158C4" w:rsidRPr="001F5352" w:rsidRDefault="001F5352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1F5352">
        <w:rPr>
          <w:rFonts w:ascii="Arial"/>
          <w:color w:val="000000"/>
          <w:sz w:val="27"/>
          <w:lang w:val="ru-RU"/>
        </w:rPr>
        <w:t>Про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затвердження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Вимог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об</w:t>
      </w:r>
      <w:r w:rsidRPr="001F5352">
        <w:rPr>
          <w:rFonts w:ascii="Arial"/>
          <w:color w:val="000000"/>
          <w:sz w:val="27"/>
          <w:lang w:val="ru-RU"/>
        </w:rPr>
        <w:t>'</w:t>
      </w:r>
      <w:r w:rsidRPr="001F5352">
        <w:rPr>
          <w:rFonts w:ascii="Arial"/>
          <w:color w:val="000000"/>
          <w:sz w:val="27"/>
          <w:lang w:val="ru-RU"/>
        </w:rPr>
        <w:t>єктів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приміщень</w:t>
      </w:r>
      <w:r w:rsidRPr="001F5352">
        <w:rPr>
          <w:rFonts w:ascii="Arial"/>
          <w:color w:val="000000"/>
          <w:sz w:val="27"/>
          <w:lang w:val="ru-RU"/>
        </w:rPr>
        <w:t xml:space="preserve">, </w:t>
      </w:r>
      <w:r w:rsidRPr="001F5352">
        <w:rPr>
          <w:rFonts w:ascii="Arial"/>
          <w:color w:val="000000"/>
          <w:sz w:val="27"/>
          <w:lang w:val="ru-RU"/>
        </w:rPr>
        <w:t>призначених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для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здійснення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діяльності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обігу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наркотичних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засобів</w:t>
      </w:r>
      <w:r w:rsidRPr="001F5352">
        <w:rPr>
          <w:rFonts w:ascii="Arial"/>
          <w:color w:val="000000"/>
          <w:sz w:val="27"/>
          <w:lang w:val="ru-RU"/>
        </w:rPr>
        <w:t xml:space="preserve">, </w:t>
      </w:r>
      <w:r w:rsidRPr="001F5352">
        <w:rPr>
          <w:rFonts w:ascii="Arial"/>
          <w:color w:val="000000"/>
          <w:sz w:val="27"/>
          <w:lang w:val="ru-RU"/>
        </w:rPr>
        <w:t>психотропних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речовин</w:t>
      </w:r>
      <w:r w:rsidRPr="001F5352">
        <w:rPr>
          <w:rFonts w:ascii="Arial"/>
          <w:color w:val="000000"/>
          <w:sz w:val="27"/>
          <w:lang w:val="ru-RU"/>
        </w:rPr>
        <w:t xml:space="preserve">, </w:t>
      </w:r>
      <w:r w:rsidRPr="001F5352">
        <w:rPr>
          <w:rFonts w:ascii="Arial"/>
          <w:color w:val="000000"/>
          <w:sz w:val="27"/>
          <w:lang w:val="ru-RU"/>
        </w:rPr>
        <w:t>прекурсорів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та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зберігання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вилучених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незаконного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обігу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таких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засобів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речовин</w:t>
      </w:r>
    </w:p>
    <w:p w:rsidR="008158C4" w:rsidRPr="001F5352" w:rsidRDefault="001F5352">
      <w:pPr>
        <w:spacing w:after="0"/>
        <w:jc w:val="center"/>
        <w:rPr>
          <w:lang w:val="ru-RU"/>
        </w:rPr>
      </w:pPr>
      <w:bookmarkStart w:id="8" w:name="134"/>
      <w:bookmarkEnd w:id="7"/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змінами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доповненнями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внесеними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26 </w:t>
      </w:r>
      <w:r w:rsidRPr="001F5352">
        <w:rPr>
          <w:rFonts w:ascii="Arial"/>
          <w:color w:val="000000"/>
          <w:sz w:val="18"/>
          <w:lang w:val="ru-RU"/>
        </w:rPr>
        <w:t>серпня</w:t>
      </w:r>
      <w:r w:rsidRPr="001F5352">
        <w:rPr>
          <w:rFonts w:ascii="Arial"/>
          <w:color w:val="000000"/>
          <w:sz w:val="18"/>
          <w:lang w:val="ru-RU"/>
        </w:rPr>
        <w:t xml:space="preserve"> 2024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" w:name="9"/>
      <w:bookmarkEnd w:id="8"/>
      <w:r w:rsidRPr="001F5352">
        <w:rPr>
          <w:rFonts w:ascii="Arial"/>
          <w:color w:val="000000"/>
          <w:sz w:val="18"/>
          <w:lang w:val="ru-RU"/>
        </w:rPr>
        <w:t>Відповідно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стат</w:t>
      </w:r>
      <w:r w:rsidRPr="001F5352">
        <w:rPr>
          <w:rFonts w:ascii="Arial"/>
          <w:color w:val="000000"/>
          <w:sz w:val="18"/>
          <w:lang w:val="ru-RU"/>
        </w:rPr>
        <w:t>ті</w:t>
      </w:r>
      <w:r w:rsidRPr="001F5352">
        <w:rPr>
          <w:rFonts w:ascii="Arial"/>
          <w:color w:val="000000"/>
          <w:sz w:val="18"/>
          <w:lang w:val="ru-RU"/>
        </w:rPr>
        <w:t xml:space="preserve"> 11 </w:t>
      </w:r>
      <w:r w:rsidRPr="001F5352">
        <w:rPr>
          <w:rFonts w:ascii="Arial"/>
          <w:color w:val="000000"/>
          <w:sz w:val="18"/>
          <w:lang w:val="ru-RU"/>
        </w:rPr>
        <w:t>Закону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прекурсори</w:t>
      </w:r>
      <w:r w:rsidRPr="001F5352">
        <w:rPr>
          <w:rFonts w:ascii="Arial"/>
          <w:color w:val="000000"/>
          <w:sz w:val="18"/>
          <w:lang w:val="ru-RU"/>
        </w:rPr>
        <w:t xml:space="preserve">", </w:t>
      </w:r>
      <w:r w:rsidRPr="001F5352">
        <w:rPr>
          <w:rFonts w:ascii="Arial"/>
          <w:color w:val="000000"/>
          <w:sz w:val="18"/>
          <w:lang w:val="ru-RU"/>
        </w:rPr>
        <w:t>статті</w:t>
      </w:r>
      <w:r w:rsidRPr="001F5352">
        <w:rPr>
          <w:rFonts w:ascii="Arial"/>
          <w:color w:val="000000"/>
          <w:sz w:val="18"/>
          <w:lang w:val="ru-RU"/>
        </w:rPr>
        <w:t xml:space="preserve"> 24 </w:t>
      </w:r>
      <w:r w:rsidRPr="001F5352">
        <w:rPr>
          <w:rFonts w:ascii="Arial"/>
          <w:color w:val="000000"/>
          <w:sz w:val="18"/>
          <w:lang w:val="ru-RU"/>
        </w:rPr>
        <w:t>Закону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Національну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поліцію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Порядку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вилучених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незаконного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затве</w:t>
      </w:r>
      <w:r w:rsidRPr="001F5352">
        <w:rPr>
          <w:rFonts w:ascii="Arial"/>
          <w:color w:val="000000"/>
          <w:sz w:val="18"/>
          <w:lang w:val="ru-RU"/>
        </w:rPr>
        <w:t>рдженого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постановою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Кабінету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07 </w:t>
      </w:r>
      <w:r w:rsidRPr="001F5352">
        <w:rPr>
          <w:rFonts w:ascii="Arial"/>
          <w:color w:val="000000"/>
          <w:sz w:val="18"/>
          <w:lang w:val="ru-RU"/>
        </w:rPr>
        <w:t>травня</w:t>
      </w:r>
      <w:r w:rsidRPr="001F5352">
        <w:rPr>
          <w:rFonts w:ascii="Arial"/>
          <w:color w:val="000000"/>
          <w:sz w:val="18"/>
          <w:lang w:val="ru-RU"/>
        </w:rPr>
        <w:t xml:space="preserve"> 2008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422,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забезпечення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видачі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Національною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дозволу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призначених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</w:t>
      </w:r>
      <w:r w:rsidRPr="001F5352">
        <w:rPr>
          <w:rFonts w:ascii="Arial"/>
          <w:color w:val="000000"/>
          <w:sz w:val="18"/>
          <w:lang w:val="ru-RU"/>
        </w:rPr>
        <w:t>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приведення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нормативно</w:t>
      </w:r>
      <w:r w:rsidRPr="001F5352">
        <w:rPr>
          <w:rFonts w:ascii="Arial"/>
          <w:color w:val="000000"/>
          <w:sz w:val="18"/>
          <w:lang w:val="ru-RU"/>
        </w:rPr>
        <w:t>-</w:t>
      </w:r>
      <w:r w:rsidRPr="001F5352">
        <w:rPr>
          <w:rFonts w:ascii="Arial"/>
          <w:color w:val="000000"/>
          <w:sz w:val="18"/>
          <w:lang w:val="ru-RU"/>
        </w:rPr>
        <w:t>правових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актів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МВС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регулюють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діяльність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Національної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відповідність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законодавства</w:t>
      </w:r>
    </w:p>
    <w:p w:rsidR="008158C4" w:rsidRDefault="001F5352">
      <w:pPr>
        <w:spacing w:after="0"/>
        <w:ind w:firstLine="240"/>
      </w:pPr>
      <w:bookmarkStart w:id="10" w:name="10"/>
      <w:bookmarkEnd w:id="9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8158C4" w:rsidRDefault="001F5352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8158C4" w:rsidRDefault="001F5352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759/16775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3" w:name="13"/>
      <w:bookmarkEnd w:id="12"/>
      <w:r w:rsidRPr="001F5352">
        <w:rPr>
          <w:rFonts w:ascii="Arial"/>
          <w:color w:val="000000"/>
          <w:sz w:val="18"/>
          <w:lang w:val="ru-RU"/>
        </w:rPr>
        <w:t xml:space="preserve">3. </w:t>
      </w:r>
      <w:r w:rsidRPr="001F5352">
        <w:rPr>
          <w:rFonts w:ascii="Arial"/>
          <w:color w:val="000000"/>
          <w:sz w:val="18"/>
          <w:lang w:val="ru-RU"/>
        </w:rPr>
        <w:t>Департаменту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формування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політики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щодо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підконтрольних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Міністрові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органів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влади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моніторингу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МВС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Боднар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Є</w:t>
      </w:r>
      <w:r w:rsidRPr="001F5352">
        <w:rPr>
          <w:rFonts w:ascii="Arial"/>
          <w:color w:val="000000"/>
          <w:sz w:val="18"/>
          <w:lang w:val="ru-RU"/>
        </w:rPr>
        <w:t xml:space="preserve">.) </w:t>
      </w:r>
      <w:r w:rsidRPr="001F5352">
        <w:rPr>
          <w:rFonts w:ascii="Arial"/>
          <w:color w:val="000000"/>
          <w:sz w:val="18"/>
          <w:lang w:val="ru-RU"/>
        </w:rPr>
        <w:t>забезпечити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подання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державну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реєстрацію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юстиції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установленому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порядку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4" w:name="14"/>
      <w:bookmarkEnd w:id="13"/>
      <w:r w:rsidRPr="001F5352">
        <w:rPr>
          <w:rFonts w:ascii="Arial"/>
          <w:color w:val="000000"/>
          <w:sz w:val="18"/>
          <w:lang w:val="ru-RU"/>
        </w:rPr>
        <w:t xml:space="preserve">4. </w:t>
      </w:r>
      <w:r w:rsidRPr="001F5352">
        <w:rPr>
          <w:rFonts w:ascii="Arial"/>
          <w:color w:val="000000"/>
          <w:sz w:val="18"/>
          <w:lang w:val="ru-RU"/>
        </w:rPr>
        <w:t>Цей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набирає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чинності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його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офіційного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опублікування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5" w:name="15"/>
      <w:bookmarkEnd w:id="14"/>
      <w:r w:rsidRPr="001F5352">
        <w:rPr>
          <w:rFonts w:ascii="Arial"/>
          <w:color w:val="000000"/>
          <w:sz w:val="18"/>
          <w:lang w:val="ru-RU"/>
        </w:rPr>
        <w:t xml:space="preserve">5. </w:t>
      </w:r>
      <w:r w:rsidRPr="001F5352">
        <w:rPr>
          <w:rFonts w:ascii="Arial"/>
          <w:color w:val="000000"/>
          <w:sz w:val="18"/>
          <w:lang w:val="ru-RU"/>
        </w:rPr>
        <w:t>Контроль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виконанням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покласти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Голову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Національної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6" w:name="16"/>
      <w:bookmarkEnd w:id="15"/>
      <w:r w:rsidRPr="001F535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Аваков</w:t>
            </w:r>
          </w:p>
        </w:tc>
        <w:bookmarkEnd w:id="18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19" w:name="1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21" w:name="21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Князєв</w:t>
            </w:r>
          </w:p>
        </w:tc>
        <w:bookmarkEnd w:id="22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Pr="001F5352" w:rsidRDefault="001F5352">
            <w:pPr>
              <w:spacing w:after="0"/>
              <w:jc w:val="center"/>
              <w:rPr>
                <w:lang w:val="ru-RU"/>
              </w:rPr>
            </w:pPr>
            <w:bookmarkStart w:id="23" w:name="23"/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Супрун</w:t>
            </w:r>
          </w:p>
        </w:tc>
        <w:bookmarkEnd w:id="24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Pr="001F5352" w:rsidRDefault="001F5352">
            <w:pPr>
              <w:spacing w:after="0"/>
              <w:jc w:val="center"/>
              <w:rPr>
                <w:lang w:val="ru-RU"/>
              </w:rPr>
            </w:pPr>
            <w:bookmarkStart w:id="25" w:name="25"/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В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фіскальної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Продан</w:t>
            </w:r>
          </w:p>
        </w:tc>
        <w:bookmarkEnd w:id="26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Pr="001F5352" w:rsidRDefault="001F5352">
            <w:pPr>
              <w:spacing w:after="0"/>
              <w:jc w:val="center"/>
              <w:rPr>
                <w:lang w:val="ru-RU"/>
              </w:rPr>
            </w:pPr>
            <w:bookmarkStart w:id="27" w:name="27"/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лікарських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засобів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контролю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наркотиками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Гудзь</w:t>
            </w:r>
          </w:p>
        </w:tc>
        <w:bookmarkEnd w:id="28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Pr="001F5352" w:rsidRDefault="001F5352">
            <w:pPr>
              <w:spacing w:after="0"/>
              <w:jc w:val="center"/>
              <w:rPr>
                <w:lang w:val="ru-RU"/>
              </w:rPr>
            </w:pPr>
            <w:bookmarkStart w:id="29" w:name="29"/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регіонального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будівництва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житлово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комунального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господарства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Негода</w:t>
            </w:r>
          </w:p>
        </w:tc>
        <w:bookmarkEnd w:id="30"/>
      </w:tr>
      <w:tr w:rsidR="008158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158C4" w:rsidRPr="001F5352" w:rsidRDefault="001F5352">
            <w:pPr>
              <w:spacing w:after="0"/>
              <w:jc w:val="center"/>
              <w:rPr>
                <w:lang w:val="ru-RU"/>
              </w:rPr>
            </w:pPr>
            <w:bookmarkStart w:id="31" w:name="31"/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безпеки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32" w:name="32"/>
            <w:bookmarkEnd w:id="31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Демчина</w:t>
            </w:r>
          </w:p>
        </w:tc>
        <w:bookmarkEnd w:id="32"/>
      </w:tr>
    </w:tbl>
    <w:p w:rsidR="008158C4" w:rsidRDefault="001F5352">
      <w:r>
        <w:br/>
      </w:r>
    </w:p>
    <w:p w:rsidR="008158C4" w:rsidRDefault="001F5352">
      <w:pPr>
        <w:spacing w:after="0"/>
        <w:ind w:firstLine="240"/>
      </w:pPr>
      <w:bookmarkStart w:id="33" w:name="33"/>
      <w:r>
        <w:rPr>
          <w:rFonts w:ascii="Arial"/>
          <w:color w:val="000000"/>
          <w:sz w:val="18"/>
        </w:rPr>
        <w:t xml:space="preserve"> 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34" w:name="34"/>
      <w:bookmarkEnd w:id="33"/>
      <w:r w:rsidRPr="001F5352">
        <w:rPr>
          <w:rFonts w:ascii="Arial"/>
          <w:color w:val="000000"/>
          <w:sz w:val="18"/>
          <w:lang w:val="ru-RU"/>
        </w:rPr>
        <w:t>ЗАТВЕРДЖЕНО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>Наказ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29 </w:t>
      </w:r>
      <w:r w:rsidRPr="001F5352">
        <w:rPr>
          <w:rFonts w:ascii="Arial"/>
          <w:color w:val="000000"/>
          <w:sz w:val="18"/>
          <w:lang w:val="ru-RU"/>
        </w:rPr>
        <w:t>січня</w:t>
      </w:r>
      <w:r w:rsidRPr="001F5352">
        <w:rPr>
          <w:rFonts w:ascii="Arial"/>
          <w:color w:val="000000"/>
          <w:sz w:val="18"/>
          <w:lang w:val="ru-RU"/>
        </w:rPr>
        <w:t xml:space="preserve"> 2018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52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35" w:name="35"/>
      <w:bookmarkEnd w:id="34"/>
      <w:r w:rsidRPr="001F5352">
        <w:rPr>
          <w:rFonts w:ascii="Arial"/>
          <w:color w:val="000000"/>
          <w:sz w:val="18"/>
          <w:lang w:val="ru-RU"/>
        </w:rPr>
        <w:t>Зареєстровано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юстиції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20 </w:t>
      </w:r>
      <w:r w:rsidRPr="001F5352">
        <w:rPr>
          <w:rFonts w:ascii="Arial"/>
          <w:color w:val="000000"/>
          <w:sz w:val="18"/>
          <w:lang w:val="ru-RU"/>
        </w:rPr>
        <w:t>лютого</w:t>
      </w:r>
      <w:r w:rsidRPr="001F5352">
        <w:rPr>
          <w:rFonts w:ascii="Arial"/>
          <w:color w:val="000000"/>
          <w:sz w:val="18"/>
          <w:lang w:val="ru-RU"/>
        </w:rPr>
        <w:t xml:space="preserve"> 2018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208/31660</w:t>
      </w:r>
    </w:p>
    <w:p w:rsidR="008158C4" w:rsidRPr="001F5352" w:rsidRDefault="001F5352">
      <w:pPr>
        <w:pStyle w:val="3"/>
        <w:spacing w:after="0"/>
        <w:jc w:val="center"/>
        <w:rPr>
          <w:lang w:val="ru-RU"/>
        </w:rPr>
      </w:pPr>
      <w:bookmarkStart w:id="36" w:name="36"/>
      <w:bookmarkEnd w:id="35"/>
      <w:r w:rsidRPr="001F5352">
        <w:rPr>
          <w:rFonts w:ascii="Arial"/>
          <w:color w:val="000000"/>
          <w:sz w:val="27"/>
          <w:lang w:val="ru-RU"/>
        </w:rPr>
        <w:t>ВИМОГИ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27"/>
          <w:lang w:val="ru-RU"/>
        </w:rPr>
        <w:t>до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об</w:t>
      </w:r>
      <w:r w:rsidRPr="001F5352">
        <w:rPr>
          <w:rFonts w:ascii="Arial"/>
          <w:color w:val="000000"/>
          <w:sz w:val="27"/>
          <w:lang w:val="ru-RU"/>
        </w:rPr>
        <w:t>'</w:t>
      </w:r>
      <w:r w:rsidRPr="001F5352">
        <w:rPr>
          <w:rFonts w:ascii="Arial"/>
          <w:color w:val="000000"/>
          <w:sz w:val="27"/>
          <w:lang w:val="ru-RU"/>
        </w:rPr>
        <w:t>єктів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приміщень</w:t>
      </w:r>
      <w:r w:rsidRPr="001F5352">
        <w:rPr>
          <w:rFonts w:ascii="Arial"/>
          <w:color w:val="000000"/>
          <w:sz w:val="27"/>
          <w:lang w:val="ru-RU"/>
        </w:rPr>
        <w:t xml:space="preserve">, </w:t>
      </w:r>
      <w:r w:rsidRPr="001F5352">
        <w:rPr>
          <w:rFonts w:ascii="Arial"/>
          <w:color w:val="000000"/>
          <w:sz w:val="27"/>
          <w:lang w:val="ru-RU"/>
        </w:rPr>
        <w:t>призначених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для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здійснення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діяльності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обігу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наркотичних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засобів</w:t>
      </w:r>
      <w:r w:rsidRPr="001F5352">
        <w:rPr>
          <w:rFonts w:ascii="Arial"/>
          <w:color w:val="000000"/>
          <w:sz w:val="27"/>
          <w:lang w:val="ru-RU"/>
        </w:rPr>
        <w:t xml:space="preserve">, </w:t>
      </w:r>
      <w:r w:rsidRPr="001F5352">
        <w:rPr>
          <w:rFonts w:ascii="Arial"/>
          <w:color w:val="000000"/>
          <w:sz w:val="27"/>
          <w:lang w:val="ru-RU"/>
        </w:rPr>
        <w:t>психотропних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речовин</w:t>
      </w:r>
      <w:r w:rsidRPr="001F5352">
        <w:rPr>
          <w:rFonts w:ascii="Arial"/>
          <w:color w:val="000000"/>
          <w:sz w:val="27"/>
          <w:lang w:val="ru-RU"/>
        </w:rPr>
        <w:t xml:space="preserve">, </w:t>
      </w:r>
      <w:r w:rsidRPr="001F5352">
        <w:rPr>
          <w:rFonts w:ascii="Arial"/>
          <w:color w:val="000000"/>
          <w:sz w:val="27"/>
          <w:lang w:val="ru-RU"/>
        </w:rPr>
        <w:t>прекурсорів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та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зберігання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вилучених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незаконного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обігу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т</w:t>
      </w:r>
      <w:r w:rsidRPr="001F5352">
        <w:rPr>
          <w:rFonts w:ascii="Arial"/>
          <w:color w:val="000000"/>
          <w:sz w:val="27"/>
          <w:lang w:val="ru-RU"/>
        </w:rPr>
        <w:t>аких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засобів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речовин</w:t>
      </w:r>
    </w:p>
    <w:p w:rsidR="008158C4" w:rsidRPr="001F5352" w:rsidRDefault="001F5352">
      <w:pPr>
        <w:pStyle w:val="3"/>
        <w:spacing w:after="0"/>
        <w:rPr>
          <w:lang w:val="ru-RU"/>
        </w:rPr>
      </w:pPr>
      <w:bookmarkStart w:id="37" w:name="37"/>
      <w:bookmarkEnd w:id="36"/>
      <w:r>
        <w:rPr>
          <w:rFonts w:ascii="Arial"/>
          <w:color w:val="000000"/>
          <w:sz w:val="27"/>
        </w:rPr>
        <w:t>I</w:t>
      </w:r>
      <w:r w:rsidRPr="001F5352">
        <w:rPr>
          <w:rFonts w:ascii="Arial"/>
          <w:color w:val="000000"/>
          <w:sz w:val="27"/>
          <w:lang w:val="ru-RU"/>
        </w:rPr>
        <w:t xml:space="preserve">. </w:t>
      </w:r>
      <w:r w:rsidRPr="001F5352">
        <w:rPr>
          <w:rFonts w:ascii="Arial"/>
          <w:color w:val="000000"/>
          <w:sz w:val="27"/>
          <w:lang w:val="ru-RU"/>
        </w:rPr>
        <w:t>Загальні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положення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38" w:name="38"/>
      <w:bookmarkEnd w:id="37"/>
      <w:r w:rsidRPr="001F5352">
        <w:rPr>
          <w:rFonts w:ascii="Arial"/>
          <w:color w:val="000000"/>
          <w:sz w:val="18"/>
          <w:lang w:val="ru-RU"/>
        </w:rPr>
        <w:t xml:space="preserve">1. </w:t>
      </w:r>
      <w:r w:rsidRPr="001F5352">
        <w:rPr>
          <w:rFonts w:ascii="Arial"/>
          <w:color w:val="000000"/>
          <w:sz w:val="18"/>
          <w:lang w:val="ru-RU"/>
        </w:rPr>
        <w:t>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поширюються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господарювання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Службу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безпеки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Національну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поліцію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Державну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фіскальну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службу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встановлюють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технічні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далі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місц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призначених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культивування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затвердженого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постановою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Кабінету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06 </w:t>
      </w:r>
      <w:r w:rsidRPr="001F5352">
        <w:rPr>
          <w:rFonts w:ascii="Arial"/>
          <w:color w:val="000000"/>
          <w:sz w:val="18"/>
          <w:lang w:val="ru-RU"/>
        </w:rPr>
        <w:t>травня</w:t>
      </w:r>
      <w:r w:rsidRPr="001F5352">
        <w:rPr>
          <w:rFonts w:ascii="Arial"/>
          <w:color w:val="000000"/>
          <w:sz w:val="18"/>
          <w:lang w:val="ru-RU"/>
        </w:rPr>
        <w:t xml:space="preserve"> 2000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770 (</w:t>
      </w:r>
      <w:r w:rsidRPr="001F5352">
        <w:rPr>
          <w:rFonts w:ascii="Arial"/>
          <w:color w:val="000000"/>
          <w:sz w:val="18"/>
          <w:lang w:val="ru-RU"/>
        </w:rPr>
        <w:t>далі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Перелік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розроблення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виробництво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виготовлення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знищення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їх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оснащення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вилучених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незаконного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39" w:name="39"/>
      <w:bookmarkEnd w:id="38"/>
      <w:r w:rsidRPr="001F5352">
        <w:rPr>
          <w:rFonts w:ascii="Arial"/>
          <w:color w:val="000000"/>
          <w:sz w:val="18"/>
          <w:lang w:val="ru-RU"/>
        </w:rPr>
        <w:t xml:space="preserve">2.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терміни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вживаються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значеннях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наведених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Законах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прекурсори</w:t>
      </w:r>
      <w:r w:rsidRPr="001F5352">
        <w:rPr>
          <w:rFonts w:ascii="Arial"/>
          <w:color w:val="000000"/>
          <w:sz w:val="18"/>
          <w:lang w:val="ru-RU"/>
        </w:rPr>
        <w:t>",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діяльність</w:t>
      </w:r>
      <w:r w:rsidRPr="001F5352">
        <w:rPr>
          <w:rFonts w:ascii="Arial"/>
          <w:color w:val="000000"/>
          <w:sz w:val="18"/>
          <w:lang w:val="ru-RU"/>
        </w:rPr>
        <w:t>",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видів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</w:t>
      </w:r>
      <w:r w:rsidRPr="001F5352">
        <w:rPr>
          <w:rFonts w:ascii="Arial"/>
          <w:color w:val="000000"/>
          <w:sz w:val="18"/>
          <w:lang w:val="ru-RU"/>
        </w:rPr>
        <w:t>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>".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0" w:name="40"/>
      <w:bookmarkEnd w:id="39"/>
      <w:r w:rsidRPr="001F5352">
        <w:rPr>
          <w:rFonts w:ascii="Arial"/>
          <w:color w:val="000000"/>
          <w:sz w:val="18"/>
          <w:lang w:val="ru-RU"/>
        </w:rPr>
        <w:t xml:space="preserve">3.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можуть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закритого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відкритого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єкти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Default="001F5352">
      <w:pPr>
        <w:spacing w:after="0"/>
        <w:ind w:firstLine="240"/>
      </w:pPr>
      <w:bookmarkStart w:id="41" w:name="41"/>
      <w:bookmarkEnd w:id="40"/>
      <w:r w:rsidRPr="001F5352">
        <w:rPr>
          <w:rFonts w:ascii="Arial"/>
          <w:color w:val="000000"/>
          <w:sz w:val="18"/>
          <w:lang w:val="ru-RU"/>
        </w:rPr>
        <w:t xml:space="preserve">4.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визначаються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господарювання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Службою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безпеки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Національною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поліцією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8158C4" w:rsidRDefault="001F5352">
      <w:pPr>
        <w:spacing w:after="0"/>
        <w:ind w:firstLine="240"/>
      </w:pPr>
      <w:bookmarkStart w:id="42" w:name="42"/>
      <w:bookmarkEnd w:id="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ншого</w:t>
      </w:r>
      <w:r>
        <w:rPr>
          <w:rFonts w:ascii="Arial"/>
          <w:color w:val="000000"/>
          <w:sz w:val="18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3" w:name="43"/>
      <w:bookmarkEnd w:id="42"/>
      <w:r w:rsidRPr="001F5352">
        <w:rPr>
          <w:rFonts w:ascii="Arial"/>
          <w:color w:val="000000"/>
          <w:sz w:val="18"/>
          <w:lang w:val="ru-RU"/>
        </w:rPr>
        <w:t xml:space="preserve">6. </w:t>
      </w:r>
      <w:r w:rsidRPr="001F5352">
        <w:rPr>
          <w:rFonts w:ascii="Arial"/>
          <w:color w:val="000000"/>
          <w:sz w:val="18"/>
          <w:lang w:val="ru-RU"/>
        </w:rPr>
        <w:t>Кожному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надається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порядковий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номер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4" w:name="44"/>
      <w:bookmarkEnd w:id="43"/>
      <w:r w:rsidRPr="001F5352">
        <w:rPr>
          <w:rFonts w:ascii="Arial"/>
          <w:color w:val="000000"/>
          <w:sz w:val="18"/>
          <w:lang w:val="ru-RU"/>
        </w:rPr>
        <w:t xml:space="preserve">7.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кожним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плані</w:t>
      </w:r>
      <w:r w:rsidRPr="001F5352">
        <w:rPr>
          <w:rFonts w:ascii="Arial"/>
          <w:color w:val="000000"/>
          <w:sz w:val="18"/>
          <w:lang w:val="ru-RU"/>
        </w:rPr>
        <w:t>-</w:t>
      </w:r>
      <w:r w:rsidRPr="001F5352">
        <w:rPr>
          <w:rFonts w:ascii="Arial"/>
          <w:color w:val="000000"/>
          <w:sz w:val="18"/>
          <w:lang w:val="ru-RU"/>
        </w:rPr>
        <w:t>схемі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зазначаються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знаходяться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такому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також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ужиті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заходи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технічного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забезпечення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оснащення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pStyle w:val="3"/>
        <w:spacing w:after="0"/>
        <w:rPr>
          <w:lang w:val="ru-RU"/>
        </w:rPr>
      </w:pPr>
      <w:bookmarkStart w:id="45" w:name="45"/>
      <w:bookmarkEnd w:id="44"/>
      <w:r>
        <w:rPr>
          <w:rFonts w:ascii="Arial"/>
          <w:color w:val="000000"/>
          <w:sz w:val="27"/>
        </w:rPr>
        <w:t>II</w:t>
      </w:r>
      <w:r w:rsidRPr="001F5352">
        <w:rPr>
          <w:rFonts w:ascii="Arial"/>
          <w:color w:val="000000"/>
          <w:sz w:val="27"/>
          <w:lang w:val="ru-RU"/>
        </w:rPr>
        <w:t xml:space="preserve">. </w:t>
      </w:r>
      <w:r w:rsidRPr="001F5352">
        <w:rPr>
          <w:rFonts w:ascii="Arial"/>
          <w:color w:val="000000"/>
          <w:sz w:val="27"/>
          <w:lang w:val="ru-RU"/>
        </w:rPr>
        <w:t>Технічні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вимоги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місць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концентрації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6" w:name="46"/>
      <w:bookmarkEnd w:id="45"/>
      <w:r w:rsidRPr="001F5352">
        <w:rPr>
          <w:rFonts w:ascii="Arial"/>
          <w:color w:val="000000"/>
          <w:sz w:val="18"/>
          <w:lang w:val="ru-RU"/>
        </w:rPr>
        <w:t xml:space="preserve">1. </w:t>
      </w:r>
      <w:r w:rsidRPr="001F5352">
        <w:rPr>
          <w:rFonts w:ascii="Arial"/>
          <w:color w:val="000000"/>
          <w:sz w:val="18"/>
          <w:lang w:val="ru-RU"/>
        </w:rPr>
        <w:t>Технічні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>):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7" w:name="47"/>
      <w:bookmarkEnd w:id="46"/>
      <w:r w:rsidRPr="001F5352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вилучених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незаконного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</w:t>
      </w:r>
      <w:r w:rsidRPr="001F5352">
        <w:rPr>
          <w:rFonts w:ascii="Arial"/>
          <w:color w:val="000000"/>
          <w:sz w:val="18"/>
          <w:lang w:val="ru-RU"/>
        </w:rPr>
        <w:t>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8" w:name="48"/>
      <w:bookmarkEnd w:id="47"/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еквівалентні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цегляним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стінам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500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49" w:name="49"/>
      <w:bookmarkEnd w:id="48"/>
      <w:r w:rsidRPr="001F5352">
        <w:rPr>
          <w:rFonts w:ascii="Arial"/>
          <w:color w:val="000000"/>
          <w:sz w:val="18"/>
          <w:lang w:val="ru-RU"/>
        </w:rPr>
        <w:t>підлога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стеля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еквівалентні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залізобетонній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плиті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180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0" w:name="50"/>
      <w:bookmarkEnd w:id="49"/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стельове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перекриття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підлога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указаним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всій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площі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укріплені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розмір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вічок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>
        <w:rPr>
          <w:rFonts w:ascii="Arial"/>
          <w:color w:val="000000"/>
          <w:sz w:val="18"/>
        </w:rPr>
        <w:t>x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Ґрати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приварюються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анкерів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12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замур</w:t>
      </w:r>
      <w:r w:rsidRPr="001F5352">
        <w:rPr>
          <w:rFonts w:ascii="Arial"/>
          <w:color w:val="000000"/>
          <w:sz w:val="18"/>
          <w:lang w:val="ru-RU"/>
        </w:rPr>
        <w:t>ованих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перекриття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підлогу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глибину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120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деталей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залізобетонних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смуги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розмірами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100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50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5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Крок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анкерів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уздовж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750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1" w:name="51"/>
      <w:bookmarkEnd w:id="50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справні</w:t>
      </w:r>
      <w:r w:rsidRPr="001F5352">
        <w:rPr>
          <w:rFonts w:ascii="Arial"/>
          <w:color w:val="000000"/>
          <w:sz w:val="18"/>
          <w:lang w:val="ru-RU"/>
        </w:rPr>
        <w:t>,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добре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40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оббиті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листовим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0,6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загинанням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країв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листа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</w:t>
      </w:r>
      <w:r w:rsidRPr="001F5352">
        <w:rPr>
          <w:rFonts w:ascii="Arial"/>
          <w:color w:val="000000"/>
          <w:sz w:val="18"/>
          <w:lang w:val="ru-RU"/>
        </w:rPr>
        <w:t>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поверхню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торець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полотна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Дверний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отвір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додатково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захищений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решітчастими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дверима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виготовленими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вічками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зварені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кожного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перетину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Дверна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виготовлена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профілю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діючих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допускаються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посилені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кутниками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розміром</w:t>
      </w:r>
      <w:r w:rsidRPr="001F5352">
        <w:rPr>
          <w:rFonts w:ascii="Arial"/>
          <w:color w:val="000000"/>
          <w:sz w:val="18"/>
          <w:lang w:val="ru-RU"/>
        </w:rPr>
        <w:t xml:space="preserve"> 30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40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5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закріпленими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штирями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арматурної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</w:t>
      </w:r>
      <w:r w:rsidRPr="001F5352">
        <w:rPr>
          <w:rFonts w:ascii="Arial"/>
          <w:color w:val="000000"/>
          <w:sz w:val="18"/>
          <w:lang w:val="ru-RU"/>
        </w:rPr>
        <w:t>ом</w:t>
      </w:r>
      <w:r w:rsidRPr="001F5352">
        <w:rPr>
          <w:rFonts w:ascii="Arial"/>
          <w:color w:val="000000"/>
          <w:sz w:val="18"/>
          <w:lang w:val="ru-RU"/>
        </w:rPr>
        <w:t xml:space="preserve"> 10 - 12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завдовжки</w:t>
      </w:r>
      <w:r w:rsidRPr="001F5352">
        <w:rPr>
          <w:rFonts w:ascii="Arial"/>
          <w:color w:val="000000"/>
          <w:sz w:val="18"/>
          <w:lang w:val="ru-RU"/>
        </w:rPr>
        <w:t xml:space="preserve"> 120 - 150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2" w:name="52"/>
      <w:bookmarkEnd w:id="51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виготовленими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відстанню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вертикалі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горизонталі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м</w:t>
      </w:r>
      <w:r w:rsidRPr="001F5352">
        <w:rPr>
          <w:rFonts w:ascii="Arial"/>
          <w:color w:val="000000"/>
          <w:sz w:val="18"/>
          <w:lang w:val="ru-RU"/>
        </w:rPr>
        <w:t>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Кінці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замуровані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глибину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80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залиті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бетоном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вищезазначеним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показникам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3" w:name="53"/>
      <w:bookmarkEnd w:id="52"/>
      <w:r w:rsidRPr="001F5352">
        <w:rPr>
          <w:rFonts w:ascii="Arial"/>
          <w:color w:val="000000"/>
          <w:sz w:val="18"/>
          <w:lang w:val="ru-RU"/>
        </w:rPr>
        <w:t xml:space="preserve">2)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аптечні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склади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склади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фармацевтичних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підприємствах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розроблення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виробництва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</w:t>
      </w:r>
      <w:r w:rsidRPr="001F5352">
        <w:rPr>
          <w:rFonts w:ascii="Arial"/>
          <w:color w:val="000000"/>
          <w:sz w:val="18"/>
          <w:lang w:val="ru-RU"/>
        </w:rPr>
        <w:t>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4" w:name="54"/>
      <w:bookmarkEnd w:id="53"/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еквівалентні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цегляним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стінам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500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5" w:name="55"/>
      <w:bookmarkEnd w:id="54"/>
      <w:r w:rsidRPr="001F5352">
        <w:rPr>
          <w:rFonts w:ascii="Arial"/>
          <w:color w:val="000000"/>
          <w:sz w:val="18"/>
          <w:lang w:val="ru-RU"/>
        </w:rPr>
        <w:t>підлога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стеля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еквівалентні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залізобетонній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плиті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180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6" w:name="56"/>
      <w:bookmarkEnd w:id="55"/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стельове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перекрит</w:t>
      </w:r>
      <w:r w:rsidRPr="001F5352">
        <w:rPr>
          <w:rFonts w:ascii="Arial"/>
          <w:color w:val="000000"/>
          <w:sz w:val="18"/>
          <w:lang w:val="ru-RU"/>
        </w:rPr>
        <w:t>тя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підлога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указаним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всій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площі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укріплені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розмір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вічок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Ґрати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приварюються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анкерів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12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замурованих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перекриття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підлогу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глибину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120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деталей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залізобетонних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смуги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розмірами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100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50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5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Крок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анкерів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уздовж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750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7" w:name="57"/>
      <w:bookmarkEnd w:id="56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</w:t>
      </w:r>
      <w:r w:rsidRPr="001F5352">
        <w:rPr>
          <w:rFonts w:ascii="Arial"/>
          <w:color w:val="000000"/>
          <w:sz w:val="18"/>
          <w:lang w:val="ru-RU"/>
        </w:rPr>
        <w:t>авні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добре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Дверний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отвір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додатково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захищений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решітчастими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дверима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виготовленими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</w:t>
      </w:r>
      <w:r w:rsidRPr="001F5352">
        <w:rPr>
          <w:rFonts w:ascii="Arial"/>
          <w:color w:val="000000"/>
          <w:sz w:val="18"/>
          <w:lang w:val="ru-RU"/>
        </w:rPr>
        <w:t>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вічка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зварені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кожного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перетину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Дверна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виготовлена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профілю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8" w:name="58"/>
      <w:bookmarkEnd w:id="57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виготовленими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сталевих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діаметром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</w:t>
      </w:r>
      <w:r w:rsidRPr="001F5352">
        <w:rPr>
          <w:rFonts w:ascii="Arial"/>
          <w:color w:val="000000"/>
          <w:sz w:val="18"/>
          <w:lang w:val="ru-RU"/>
        </w:rPr>
        <w:t>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16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відстанню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вертикалі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горизонталі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150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Кінці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прутів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замуровані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глибину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80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залиті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бетоном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</w:t>
      </w:r>
      <w:r w:rsidRPr="001F5352">
        <w:rPr>
          <w:rFonts w:ascii="Arial"/>
          <w:color w:val="000000"/>
          <w:sz w:val="18"/>
          <w:lang w:val="ru-RU"/>
        </w:rPr>
        <w:t>щезазначеним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показникам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59" w:name="59"/>
      <w:bookmarkEnd w:id="58"/>
      <w:r w:rsidRPr="001F5352">
        <w:rPr>
          <w:rFonts w:ascii="Arial"/>
          <w:color w:val="000000"/>
          <w:sz w:val="18"/>
          <w:lang w:val="ru-RU"/>
        </w:rPr>
        <w:t xml:space="preserve">3)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крім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зазначених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підпунктах</w:t>
      </w:r>
      <w:r w:rsidRPr="001F5352">
        <w:rPr>
          <w:rFonts w:ascii="Arial"/>
          <w:color w:val="000000"/>
          <w:sz w:val="18"/>
          <w:lang w:val="ru-RU"/>
        </w:rPr>
        <w:t xml:space="preserve"> 4</w:t>
      </w:r>
      <w:r w:rsidRPr="001F5352">
        <w:rPr>
          <w:rFonts w:ascii="Arial"/>
          <w:color w:val="000000"/>
          <w:sz w:val="18"/>
          <w:lang w:val="ru-RU"/>
        </w:rPr>
        <w:t xml:space="preserve">, 6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цього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0" w:name="60"/>
      <w:bookmarkEnd w:id="59"/>
      <w:r w:rsidRPr="001F5352">
        <w:rPr>
          <w:rFonts w:ascii="Arial"/>
          <w:color w:val="000000"/>
          <w:sz w:val="18"/>
          <w:lang w:val="ru-RU"/>
        </w:rPr>
        <w:t>окрема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кімната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капітальній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капітальними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залізобетонним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перекриттям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підлога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стеля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обладнана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сейфами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прикріпленими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підлоги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>);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1" w:name="61"/>
      <w:bookmarkEnd w:id="60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справні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добре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2" w:name="62"/>
      <w:bookmarkEnd w:id="61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гратам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3" w:name="63"/>
      <w:bookmarkEnd w:id="62"/>
      <w:r w:rsidRPr="001F5352">
        <w:rPr>
          <w:rFonts w:ascii="Arial"/>
          <w:color w:val="000000"/>
          <w:sz w:val="18"/>
          <w:lang w:val="ru-RU"/>
        </w:rPr>
        <w:t xml:space="preserve">4)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аптеках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дільничних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</w:t>
      </w:r>
      <w:r w:rsidRPr="001F5352">
        <w:rPr>
          <w:rFonts w:ascii="Arial"/>
          <w:color w:val="000000"/>
          <w:sz w:val="18"/>
          <w:lang w:val="ru-RU"/>
        </w:rPr>
        <w:t>карнях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сімейної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сільських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відділеннях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вимірювальних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діагностичних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науково</w:t>
      </w:r>
      <w:r w:rsidRPr="001F5352">
        <w:rPr>
          <w:rFonts w:ascii="Arial"/>
          <w:color w:val="000000"/>
          <w:sz w:val="18"/>
          <w:lang w:val="ru-RU"/>
        </w:rPr>
        <w:t>-</w:t>
      </w:r>
      <w:r w:rsidRPr="001F5352">
        <w:rPr>
          <w:rFonts w:ascii="Arial"/>
          <w:color w:val="000000"/>
          <w:sz w:val="18"/>
          <w:lang w:val="ru-RU"/>
        </w:rPr>
        <w:t>дослідних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інститутах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навчальн</w:t>
      </w:r>
      <w:r w:rsidRPr="001F5352">
        <w:rPr>
          <w:rFonts w:ascii="Arial"/>
          <w:color w:val="000000"/>
          <w:sz w:val="18"/>
          <w:lang w:val="ru-RU"/>
        </w:rPr>
        <w:t>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контролю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якості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експертних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установ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фізичних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осіб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підприємців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lastRenderedPageBreak/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медичної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</w:t>
      </w:r>
      <w:r w:rsidRPr="001F5352">
        <w:rPr>
          <w:rFonts w:ascii="Arial"/>
          <w:color w:val="000000"/>
          <w:sz w:val="18"/>
          <w:lang w:val="ru-RU"/>
        </w:rPr>
        <w:t>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4" w:name="64"/>
      <w:bookmarkEnd w:id="63"/>
      <w:r w:rsidRPr="001F5352">
        <w:rPr>
          <w:rFonts w:ascii="Arial"/>
          <w:color w:val="000000"/>
          <w:sz w:val="18"/>
          <w:lang w:val="ru-RU"/>
        </w:rPr>
        <w:t>окрема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кімната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капітальній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сейфами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прикріпленими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підлоги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>);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5" w:name="65"/>
      <w:bookmarkEnd w:id="64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справні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добре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6" w:name="66"/>
      <w:bookmarkEnd w:id="65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</w:t>
      </w:r>
      <w:r w:rsidRPr="001F5352">
        <w:rPr>
          <w:rFonts w:ascii="Arial"/>
          <w:color w:val="000000"/>
          <w:sz w:val="18"/>
          <w:lang w:val="ru-RU"/>
        </w:rPr>
        <w:t>ратам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7" w:name="67"/>
      <w:bookmarkEnd w:id="66"/>
      <w:r w:rsidRPr="001F5352">
        <w:rPr>
          <w:rFonts w:ascii="Arial"/>
          <w:color w:val="000000"/>
          <w:sz w:val="18"/>
          <w:lang w:val="ru-RU"/>
        </w:rPr>
        <w:t xml:space="preserve">5)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розроблення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виробництва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крім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указаних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підпункті</w:t>
      </w:r>
      <w:r w:rsidRPr="001F5352">
        <w:rPr>
          <w:rFonts w:ascii="Arial"/>
          <w:color w:val="000000"/>
          <w:sz w:val="18"/>
          <w:lang w:val="ru-RU"/>
        </w:rPr>
        <w:t xml:space="preserve"> 6 </w:t>
      </w:r>
      <w:r w:rsidRPr="001F5352">
        <w:rPr>
          <w:rFonts w:ascii="Arial"/>
          <w:color w:val="000000"/>
          <w:sz w:val="18"/>
          <w:lang w:val="ru-RU"/>
        </w:rPr>
        <w:t>пункт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цього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8" w:name="68"/>
      <w:bookmarkEnd w:id="67"/>
      <w:r w:rsidRPr="001F5352">
        <w:rPr>
          <w:rFonts w:ascii="Arial"/>
          <w:color w:val="000000"/>
          <w:sz w:val="18"/>
          <w:lang w:val="ru-RU"/>
        </w:rPr>
        <w:t>зовнішні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капітальні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69" w:name="69"/>
      <w:bookmarkEnd w:id="68"/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несуміжні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безгосподарними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приміщеннями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приміщеннями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належать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стороннім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організаціям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0" w:name="70"/>
      <w:bookmarkEnd w:id="69"/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підлога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негорючих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матеріалів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1" w:name="71"/>
      <w:bookmarkEnd w:id="70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справні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доб</w:t>
      </w:r>
      <w:r w:rsidRPr="001F5352">
        <w:rPr>
          <w:rFonts w:ascii="Arial"/>
          <w:color w:val="000000"/>
          <w:sz w:val="18"/>
          <w:lang w:val="ru-RU"/>
        </w:rPr>
        <w:t>ре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2" w:name="72"/>
      <w:bookmarkEnd w:id="71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</w:t>
      </w:r>
      <w:r w:rsidRPr="001F5352">
        <w:rPr>
          <w:rFonts w:ascii="Arial"/>
          <w:color w:val="000000"/>
          <w:sz w:val="18"/>
          <w:lang w:val="ru-RU"/>
        </w:rPr>
        <w:t>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3" w:name="73"/>
      <w:bookmarkEnd w:id="72"/>
      <w:r w:rsidRPr="001F5352">
        <w:rPr>
          <w:rFonts w:ascii="Arial"/>
          <w:color w:val="000000"/>
          <w:sz w:val="18"/>
          <w:lang w:val="ru-RU"/>
        </w:rPr>
        <w:t xml:space="preserve">6)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аптеках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дільничних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лікарнях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сі</w:t>
      </w:r>
      <w:r w:rsidRPr="001F5352">
        <w:rPr>
          <w:rFonts w:ascii="Arial"/>
          <w:color w:val="000000"/>
          <w:sz w:val="18"/>
          <w:lang w:val="ru-RU"/>
        </w:rPr>
        <w:t>мейної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сільських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відділеннях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стаціонару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вимірювальних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діагностичних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науково</w:t>
      </w:r>
      <w:r w:rsidRPr="001F5352">
        <w:rPr>
          <w:rFonts w:ascii="Arial"/>
          <w:color w:val="000000"/>
          <w:sz w:val="18"/>
          <w:lang w:val="ru-RU"/>
        </w:rPr>
        <w:t>-</w:t>
      </w:r>
      <w:r w:rsidRPr="001F5352">
        <w:rPr>
          <w:rFonts w:ascii="Arial"/>
          <w:color w:val="000000"/>
          <w:sz w:val="18"/>
          <w:lang w:val="ru-RU"/>
        </w:rPr>
        <w:t>дослідних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інститутах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навчальних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контролю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якості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експертних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установ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фізичних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осіб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підприємців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медичної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одночасного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щомісячного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препаратів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кількість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діючої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перевищує</w:t>
      </w:r>
      <w:r w:rsidRPr="001F5352">
        <w:rPr>
          <w:rFonts w:ascii="Arial"/>
          <w:color w:val="000000"/>
          <w:sz w:val="18"/>
          <w:lang w:val="ru-RU"/>
        </w:rPr>
        <w:t xml:space="preserve"> 10 </w:t>
      </w:r>
      <w:r w:rsidRPr="001F5352">
        <w:rPr>
          <w:rFonts w:ascii="Arial"/>
          <w:color w:val="000000"/>
          <w:sz w:val="18"/>
          <w:lang w:val="ru-RU"/>
        </w:rPr>
        <w:t>грамів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місячного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обсягу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запасу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більше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ніж</w:t>
      </w:r>
      <w:r w:rsidRPr="001F5352">
        <w:rPr>
          <w:rFonts w:ascii="Arial"/>
          <w:color w:val="000000"/>
          <w:sz w:val="18"/>
          <w:lang w:val="ru-RU"/>
        </w:rPr>
        <w:t xml:space="preserve"> 15 </w:t>
      </w:r>
      <w:r w:rsidRPr="001F5352">
        <w:rPr>
          <w:rFonts w:ascii="Arial"/>
          <w:color w:val="000000"/>
          <w:sz w:val="18"/>
          <w:lang w:val="ru-RU"/>
        </w:rPr>
        <w:t>кілограмів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літрів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4" w:name="74"/>
      <w:bookmarkEnd w:id="73"/>
      <w:r w:rsidRPr="001F5352">
        <w:rPr>
          <w:rFonts w:ascii="Arial"/>
          <w:color w:val="000000"/>
          <w:sz w:val="18"/>
          <w:lang w:val="ru-RU"/>
        </w:rPr>
        <w:t>окрема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кімната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капітальній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сейфами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прикріпленими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підлоги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5" w:name="75"/>
      <w:bookmarkEnd w:id="74"/>
      <w:r w:rsidRPr="001F5352">
        <w:rPr>
          <w:rFonts w:ascii="Arial"/>
          <w:color w:val="000000"/>
          <w:sz w:val="18"/>
          <w:lang w:val="ru-RU"/>
        </w:rPr>
        <w:t>вхідн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добре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6" w:name="76"/>
      <w:bookmarkEnd w:id="75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7" w:name="77"/>
      <w:bookmarkEnd w:id="76"/>
      <w:r w:rsidRPr="001F5352">
        <w:rPr>
          <w:rFonts w:ascii="Arial"/>
          <w:color w:val="000000"/>
          <w:sz w:val="18"/>
          <w:lang w:val="ru-RU"/>
        </w:rPr>
        <w:t xml:space="preserve">7)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щодо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знищення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</w:t>
      </w:r>
      <w:r w:rsidRPr="001F5352">
        <w:rPr>
          <w:rFonts w:ascii="Arial"/>
          <w:color w:val="000000"/>
          <w:sz w:val="18"/>
          <w:lang w:val="ru-RU"/>
        </w:rPr>
        <w:t>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78" w:name="136"/>
      <w:bookmarkEnd w:id="77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абзац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перший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підпункту</w:t>
      </w:r>
      <w:r w:rsidRPr="001F5352">
        <w:rPr>
          <w:rFonts w:ascii="Arial"/>
          <w:color w:val="000000"/>
          <w:sz w:val="18"/>
          <w:lang w:val="ru-RU"/>
        </w:rPr>
        <w:t xml:space="preserve"> 7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змінами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внесеними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згідно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79" w:name="78"/>
      <w:bookmarkEnd w:id="78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виготовлені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металоконструкцій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40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>.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товщини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полотно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оббивається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зсередини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суцільнозалізним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листом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завтовшки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0,6 </w:t>
      </w:r>
      <w:r w:rsidRPr="001F5352">
        <w:rPr>
          <w:rFonts w:ascii="Arial"/>
          <w:color w:val="000000"/>
          <w:sz w:val="18"/>
          <w:lang w:val="ru-RU"/>
        </w:rPr>
        <w:t>мм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загинанням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країв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листа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торець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полотна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0" w:name="79"/>
      <w:bookmarkEnd w:id="79"/>
      <w:r w:rsidRPr="001F5352">
        <w:rPr>
          <w:rFonts w:ascii="Arial"/>
          <w:color w:val="000000"/>
          <w:sz w:val="18"/>
          <w:lang w:val="ru-RU"/>
        </w:rPr>
        <w:t>двостулкові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двома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стопорними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шпінгалетами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засувами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встано</w:t>
      </w:r>
      <w:r w:rsidRPr="001F5352">
        <w:rPr>
          <w:rFonts w:ascii="Arial"/>
          <w:color w:val="000000"/>
          <w:sz w:val="18"/>
          <w:lang w:val="ru-RU"/>
        </w:rPr>
        <w:t>вленими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верхній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нижній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частинах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полотна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двостулкових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спеціальні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двосторонні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шпінгалетні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затвори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замикання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фіксуються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навісними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замками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1" w:name="80"/>
      <w:bookmarkEnd w:id="80"/>
      <w:r w:rsidRPr="001F5352">
        <w:rPr>
          <w:rFonts w:ascii="Arial"/>
          <w:color w:val="000000"/>
          <w:sz w:val="18"/>
          <w:lang w:val="ru-RU"/>
        </w:rPr>
        <w:t>ангар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складське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який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</w:t>
      </w:r>
      <w:r w:rsidRPr="001F5352">
        <w:rPr>
          <w:rFonts w:ascii="Arial"/>
          <w:color w:val="000000"/>
          <w:sz w:val="18"/>
          <w:lang w:val="ru-RU"/>
        </w:rPr>
        <w:t>истовується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винятком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коноплі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промислових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цілей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насіння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зібраного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сортів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висушеній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соломі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вміст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тетрагідроканабінолу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перевищує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вміст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визначеного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постановою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Кабінету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06 </w:t>
      </w:r>
      <w:r w:rsidRPr="001F5352">
        <w:rPr>
          <w:rFonts w:ascii="Arial"/>
          <w:color w:val="000000"/>
          <w:sz w:val="18"/>
          <w:lang w:val="ru-RU"/>
        </w:rPr>
        <w:t>травня</w:t>
      </w:r>
      <w:r w:rsidRPr="001F5352">
        <w:rPr>
          <w:rFonts w:ascii="Arial"/>
          <w:color w:val="000000"/>
          <w:sz w:val="18"/>
          <w:lang w:val="ru-RU"/>
        </w:rPr>
        <w:t xml:space="preserve"> 2000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770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затвердження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", </w:t>
      </w:r>
      <w:r w:rsidRPr="001F5352">
        <w:rPr>
          <w:rFonts w:ascii="Arial"/>
          <w:color w:val="000000"/>
          <w:sz w:val="18"/>
          <w:lang w:val="ru-RU"/>
        </w:rPr>
        <w:t>виготовлений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металоконструкцій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матеріалів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повнотілої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цегляної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кам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яно</w:t>
      </w:r>
      <w:r w:rsidRPr="001F5352">
        <w:rPr>
          <w:rFonts w:ascii="Arial"/>
          <w:color w:val="000000"/>
          <w:sz w:val="18"/>
          <w:lang w:val="ru-RU"/>
        </w:rPr>
        <w:t>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кладки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залізобетону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еквівалентних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матеріалів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дах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покриття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даху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матеріалами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язкова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наявність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яного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металевого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залізобетонного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матеріалу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еквівалентного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перекриття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2" w:name="81"/>
      <w:bookmarkEnd w:id="81"/>
      <w:r w:rsidRPr="001F5352">
        <w:rPr>
          <w:rFonts w:ascii="Arial"/>
          <w:color w:val="000000"/>
          <w:sz w:val="18"/>
          <w:lang w:val="ru-RU"/>
        </w:rPr>
        <w:lastRenderedPageBreak/>
        <w:t>вік</w:t>
      </w:r>
      <w:r w:rsidRPr="001F5352">
        <w:rPr>
          <w:rFonts w:ascii="Arial"/>
          <w:color w:val="000000"/>
          <w:sz w:val="18"/>
          <w:lang w:val="ru-RU"/>
        </w:rPr>
        <w:t>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прорізи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наявності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щитами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віконницями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Захисні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щити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віконниці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аналогічні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вхідним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затворні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пристрої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3" w:name="137"/>
      <w:bookmarkEnd w:id="82"/>
      <w:r w:rsidRPr="001F5352">
        <w:rPr>
          <w:rFonts w:ascii="Arial"/>
          <w:color w:val="000000"/>
          <w:sz w:val="18"/>
          <w:lang w:val="ru-RU"/>
        </w:rPr>
        <w:t xml:space="preserve">8)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</w:t>
      </w:r>
      <w:r w:rsidRPr="001F5352">
        <w:rPr>
          <w:rFonts w:ascii="Arial"/>
          <w:color w:val="000000"/>
          <w:sz w:val="18"/>
          <w:lang w:val="ru-RU"/>
        </w:rPr>
        <w:t>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язаної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культивуванням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ґрунту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зберіганням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знищенням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4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4" w:name="138"/>
      <w:bookmarkEnd w:id="83"/>
      <w:r w:rsidRPr="001F5352">
        <w:rPr>
          <w:rFonts w:ascii="Arial"/>
          <w:color w:val="000000"/>
          <w:sz w:val="18"/>
          <w:lang w:val="ru-RU"/>
        </w:rPr>
        <w:t>окремі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капітальній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будівлі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5" w:name="139"/>
      <w:bookmarkEnd w:id="84"/>
      <w:r w:rsidRPr="001F5352">
        <w:rPr>
          <w:rFonts w:ascii="Arial"/>
          <w:color w:val="000000"/>
          <w:sz w:val="18"/>
          <w:lang w:val="ru-RU"/>
        </w:rPr>
        <w:t>вхідні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добр</w:t>
      </w:r>
      <w:r w:rsidRPr="001F5352">
        <w:rPr>
          <w:rFonts w:ascii="Arial"/>
          <w:color w:val="000000"/>
          <w:sz w:val="18"/>
          <w:lang w:val="ru-RU"/>
        </w:rPr>
        <w:t>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підігнані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дерев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повнотілі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двох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врізних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несамозамикальних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замків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6" w:name="140"/>
      <w:bookmarkEnd w:id="85"/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внутрішнього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ґратами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7" w:name="141"/>
      <w:bookmarkEnd w:id="86"/>
      <w:r w:rsidRPr="001F5352">
        <w:rPr>
          <w:rFonts w:ascii="Arial"/>
          <w:color w:val="000000"/>
          <w:sz w:val="18"/>
          <w:lang w:val="ru-RU"/>
        </w:rPr>
        <w:t>Допускається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декоративних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жалюзі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міцністю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металевим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ґратам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88" w:name="142"/>
      <w:bookmarkEnd w:id="87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пункт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доповнено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підпунктом</w:t>
      </w:r>
      <w:r w:rsidRPr="001F5352">
        <w:rPr>
          <w:rFonts w:ascii="Arial"/>
          <w:color w:val="000000"/>
          <w:sz w:val="18"/>
          <w:lang w:val="ru-RU"/>
        </w:rPr>
        <w:t xml:space="preserve"> 8 </w:t>
      </w:r>
      <w:r w:rsidRPr="001F5352">
        <w:rPr>
          <w:rFonts w:ascii="Arial"/>
          <w:color w:val="000000"/>
          <w:sz w:val="18"/>
          <w:lang w:val="ru-RU"/>
        </w:rPr>
        <w:t>згідно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наказом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89" w:name="82"/>
      <w:bookmarkEnd w:id="88"/>
      <w:r w:rsidRPr="001F5352">
        <w:rPr>
          <w:rFonts w:ascii="Arial"/>
          <w:color w:val="000000"/>
          <w:sz w:val="18"/>
          <w:lang w:val="ru-RU"/>
        </w:rPr>
        <w:t xml:space="preserve">2. </w:t>
      </w:r>
      <w:r w:rsidRPr="001F5352">
        <w:rPr>
          <w:rFonts w:ascii="Arial"/>
          <w:color w:val="000000"/>
          <w:sz w:val="18"/>
          <w:lang w:val="ru-RU"/>
        </w:rPr>
        <w:t>Технічні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єктів</w:t>
      </w:r>
      <w:r w:rsidRPr="001F5352">
        <w:rPr>
          <w:rFonts w:ascii="Arial"/>
          <w:color w:val="000000"/>
          <w:sz w:val="18"/>
          <w:lang w:val="ru-RU"/>
        </w:rPr>
        <w:t>):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0" w:name="83"/>
      <w:bookmarkEnd w:id="89"/>
      <w:r w:rsidRPr="001F5352">
        <w:rPr>
          <w:rFonts w:ascii="Arial"/>
          <w:color w:val="000000"/>
          <w:sz w:val="18"/>
          <w:lang w:val="ru-RU"/>
        </w:rPr>
        <w:t>1)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відповідати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вимогам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1" w:name="84"/>
      <w:bookmarkEnd w:id="90"/>
      <w:r w:rsidRPr="001F5352">
        <w:rPr>
          <w:rFonts w:ascii="Arial"/>
          <w:color w:val="000000"/>
          <w:sz w:val="18"/>
          <w:lang w:val="ru-RU"/>
        </w:rPr>
        <w:t>розміщені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майданчиках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нижчу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позначку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щодо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прилеглих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населених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2" w:name="85"/>
      <w:bookmarkEnd w:id="91"/>
      <w:r w:rsidRPr="001F5352">
        <w:rPr>
          <w:rFonts w:ascii="Arial"/>
          <w:color w:val="000000"/>
          <w:sz w:val="18"/>
          <w:lang w:val="ru-RU"/>
        </w:rPr>
        <w:t>територія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ізольо</w:t>
      </w:r>
      <w:r w:rsidRPr="001F5352">
        <w:rPr>
          <w:rFonts w:ascii="Arial"/>
          <w:color w:val="000000"/>
          <w:sz w:val="18"/>
          <w:lang w:val="ru-RU"/>
        </w:rPr>
        <w:t>вана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території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здобувача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ліцензії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ліцензіата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окрему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огорожу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3" w:name="86"/>
      <w:bookmarkEnd w:id="92"/>
      <w:r w:rsidRPr="001F5352">
        <w:rPr>
          <w:rFonts w:ascii="Arial"/>
          <w:color w:val="000000"/>
          <w:sz w:val="18"/>
          <w:lang w:val="ru-RU"/>
        </w:rPr>
        <w:t xml:space="preserve">2)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єкти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культивування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розташовані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відстані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94" w:name="143"/>
      <w:bookmarkEnd w:id="93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абзац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перший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підпункту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змінами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внесеними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згідно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5" w:name="87"/>
      <w:bookmarkEnd w:id="94"/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ніж</w:t>
      </w:r>
      <w:r w:rsidRPr="001F5352">
        <w:rPr>
          <w:rFonts w:ascii="Arial"/>
          <w:color w:val="000000"/>
          <w:sz w:val="18"/>
          <w:lang w:val="ru-RU"/>
        </w:rPr>
        <w:t xml:space="preserve"> 0,5 </w:t>
      </w:r>
      <w:r w:rsidRPr="001F5352">
        <w:rPr>
          <w:rFonts w:ascii="Arial"/>
          <w:color w:val="000000"/>
          <w:sz w:val="18"/>
          <w:lang w:val="ru-RU"/>
        </w:rPr>
        <w:t>км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населених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пунктів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6" w:name="88"/>
      <w:bookmarkEnd w:id="95"/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ніж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км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</w:t>
      </w:r>
      <w:r w:rsidRPr="001F5352">
        <w:rPr>
          <w:rFonts w:ascii="Arial"/>
          <w:color w:val="000000"/>
          <w:sz w:val="18"/>
          <w:lang w:val="ru-RU"/>
        </w:rPr>
        <w:t>т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спеціальний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статус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республіканського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обласного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підпорядкування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також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державного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кордону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7" w:name="89"/>
      <w:bookmarkEnd w:id="96"/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менше</w:t>
      </w:r>
      <w:r w:rsidRPr="001F5352">
        <w:rPr>
          <w:rFonts w:ascii="Arial"/>
          <w:color w:val="000000"/>
          <w:sz w:val="18"/>
          <w:lang w:val="ru-RU"/>
        </w:rPr>
        <w:t xml:space="preserve"> 0,5 </w:t>
      </w:r>
      <w:r w:rsidRPr="001F5352">
        <w:rPr>
          <w:rFonts w:ascii="Arial"/>
          <w:color w:val="000000"/>
          <w:sz w:val="18"/>
          <w:lang w:val="ru-RU"/>
        </w:rPr>
        <w:t>км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автомобільних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доріг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користування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державного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значення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залізничних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шляхів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сполучення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винятком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культив</w:t>
      </w:r>
      <w:r w:rsidRPr="001F5352">
        <w:rPr>
          <w:rFonts w:ascii="Arial"/>
          <w:color w:val="000000"/>
          <w:sz w:val="18"/>
          <w:lang w:val="ru-RU"/>
        </w:rPr>
        <w:t>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коноплі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промислових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цілей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насіння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зібраного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сортів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висушеній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соломі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вміст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тетрагідроканабінолу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перевищує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вмісту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визначеного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постановою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Кабінету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06 </w:t>
      </w:r>
      <w:r w:rsidRPr="001F5352">
        <w:rPr>
          <w:rFonts w:ascii="Arial"/>
          <w:color w:val="000000"/>
          <w:sz w:val="18"/>
          <w:lang w:val="ru-RU"/>
        </w:rPr>
        <w:t>травня</w:t>
      </w:r>
      <w:r w:rsidRPr="001F5352">
        <w:rPr>
          <w:rFonts w:ascii="Arial"/>
          <w:color w:val="000000"/>
          <w:sz w:val="18"/>
          <w:lang w:val="ru-RU"/>
        </w:rPr>
        <w:t xml:space="preserve"> 2000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770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затвердження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>";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98" w:name="90"/>
      <w:bookmarkEnd w:id="97"/>
      <w:r w:rsidRPr="001F5352">
        <w:rPr>
          <w:rFonts w:ascii="Arial"/>
          <w:color w:val="000000"/>
          <w:sz w:val="18"/>
          <w:lang w:val="ru-RU"/>
        </w:rPr>
        <w:t xml:space="preserve">3) </w:t>
      </w:r>
      <w:r w:rsidRPr="001F5352">
        <w:rPr>
          <w:rFonts w:ascii="Arial"/>
          <w:color w:val="000000"/>
          <w:sz w:val="18"/>
          <w:lang w:val="ru-RU"/>
        </w:rPr>
        <w:t>територія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єктів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язаної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знищенням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>,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ізольована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території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господарювання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очищена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кущів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чагарників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99" w:name="144"/>
      <w:bookmarkEnd w:id="98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підпункт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змінами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внесеними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згідно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</w:t>
      </w:r>
      <w:r w:rsidRPr="001F5352">
        <w:rPr>
          <w:rFonts w:ascii="Arial"/>
          <w:color w:val="000000"/>
          <w:sz w:val="18"/>
          <w:lang w:val="ru-RU"/>
        </w:rPr>
        <w:t>д</w:t>
      </w:r>
      <w:r w:rsidRPr="001F5352">
        <w:rPr>
          <w:rFonts w:ascii="Arial"/>
          <w:color w:val="000000"/>
          <w:sz w:val="18"/>
          <w:lang w:val="ru-RU"/>
        </w:rPr>
        <w:t xml:space="preserve"> 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Pr="001F5352" w:rsidRDefault="001F5352">
      <w:pPr>
        <w:pStyle w:val="3"/>
        <w:spacing w:after="0"/>
        <w:rPr>
          <w:lang w:val="ru-RU"/>
        </w:rPr>
      </w:pPr>
      <w:bookmarkStart w:id="100" w:name="91"/>
      <w:bookmarkEnd w:id="99"/>
      <w:r>
        <w:rPr>
          <w:rFonts w:ascii="Arial"/>
          <w:color w:val="000000"/>
          <w:sz w:val="27"/>
        </w:rPr>
        <w:t>III</w:t>
      </w:r>
      <w:r w:rsidRPr="001F5352">
        <w:rPr>
          <w:rFonts w:ascii="Arial"/>
          <w:color w:val="000000"/>
          <w:sz w:val="27"/>
          <w:lang w:val="ru-RU"/>
        </w:rPr>
        <w:t xml:space="preserve">. </w:t>
      </w:r>
      <w:r w:rsidRPr="001F5352">
        <w:rPr>
          <w:rFonts w:ascii="Arial"/>
          <w:color w:val="000000"/>
          <w:sz w:val="27"/>
          <w:lang w:val="ru-RU"/>
        </w:rPr>
        <w:t>Технічні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вимоги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до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оснащення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місць</w:t>
      </w:r>
      <w:r w:rsidRPr="001F5352">
        <w:rPr>
          <w:rFonts w:ascii="Arial"/>
          <w:color w:val="000000"/>
          <w:sz w:val="27"/>
          <w:lang w:val="ru-RU"/>
        </w:rPr>
        <w:t xml:space="preserve"> </w:t>
      </w:r>
      <w:r w:rsidRPr="001F5352">
        <w:rPr>
          <w:rFonts w:ascii="Arial"/>
          <w:color w:val="000000"/>
          <w:sz w:val="27"/>
          <w:lang w:val="ru-RU"/>
        </w:rPr>
        <w:t>концентрації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1" w:name="92"/>
      <w:bookmarkEnd w:id="100"/>
      <w:r w:rsidRPr="001F5352">
        <w:rPr>
          <w:rFonts w:ascii="Arial"/>
          <w:color w:val="000000"/>
          <w:sz w:val="18"/>
          <w:lang w:val="ru-RU"/>
        </w:rPr>
        <w:t xml:space="preserve">1. </w:t>
      </w:r>
      <w:r w:rsidRPr="001F5352">
        <w:rPr>
          <w:rFonts w:ascii="Arial"/>
          <w:color w:val="000000"/>
          <w:sz w:val="18"/>
          <w:lang w:val="ru-RU"/>
        </w:rPr>
        <w:t>Технічні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оснащення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концентрації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закритого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типу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>):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2" w:name="93"/>
      <w:bookmarkEnd w:id="101"/>
      <w:r w:rsidRPr="001F5352">
        <w:rPr>
          <w:rFonts w:ascii="Arial"/>
          <w:color w:val="000000"/>
          <w:sz w:val="18"/>
          <w:lang w:val="ru-RU"/>
        </w:rPr>
        <w:t xml:space="preserve">1)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вилучених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незаконного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обігу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багаторубіжними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системами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3" w:name="94"/>
      <w:bookmarkEnd w:id="102"/>
      <w:r w:rsidRPr="001F5352">
        <w:rPr>
          <w:rFonts w:ascii="Arial"/>
          <w:color w:val="000000"/>
          <w:sz w:val="18"/>
          <w:lang w:val="ru-RU"/>
        </w:rPr>
        <w:t>Першим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периметр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люки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канали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підлоги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елементи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доступні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ззовні</w:t>
      </w:r>
      <w:r w:rsidRPr="001F5352">
        <w:rPr>
          <w:rFonts w:ascii="Arial"/>
          <w:color w:val="000000"/>
          <w:sz w:val="18"/>
          <w:lang w:val="ru-RU"/>
        </w:rPr>
        <w:t xml:space="preserve">).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першого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4" w:name="95"/>
      <w:bookmarkEnd w:id="103"/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блокуються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</w:t>
      </w:r>
      <w:r w:rsidRPr="001F5352">
        <w:rPr>
          <w:rFonts w:ascii="Arial"/>
          <w:color w:val="000000"/>
          <w:sz w:val="18"/>
          <w:lang w:val="ru-RU"/>
        </w:rPr>
        <w:t>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Некапітальні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комунікацій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ударну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5" w:name="96"/>
      <w:bookmarkEnd w:id="104"/>
      <w:r w:rsidRPr="001F5352">
        <w:rPr>
          <w:rFonts w:ascii="Arial"/>
          <w:color w:val="000000"/>
          <w:sz w:val="18"/>
          <w:lang w:val="ru-RU"/>
        </w:rPr>
        <w:t>Другим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площі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другого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6" w:name="97"/>
      <w:bookmarkEnd w:id="105"/>
      <w:r w:rsidRPr="001F5352">
        <w:rPr>
          <w:rFonts w:ascii="Arial"/>
          <w:color w:val="000000"/>
          <w:sz w:val="18"/>
          <w:lang w:val="ru-RU"/>
        </w:rPr>
        <w:t>Третім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безпосередньо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сховища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сейфи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ящики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При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цьому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7" w:name="98"/>
      <w:bookmarkEnd w:id="106"/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окремі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підключаються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</w:t>
      </w:r>
      <w:r w:rsidRPr="001F5352">
        <w:rPr>
          <w:rFonts w:ascii="Arial"/>
          <w:color w:val="000000"/>
          <w:sz w:val="18"/>
          <w:lang w:val="ru-RU"/>
        </w:rPr>
        <w:t>чі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кнопки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тривожної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персоналом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виконує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операції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lastRenderedPageBreak/>
        <w:t>наркотичними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подачі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нападу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загрози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життю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людей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8" w:name="99"/>
      <w:bookmarkEnd w:id="107"/>
      <w:r w:rsidRPr="001F5352">
        <w:rPr>
          <w:rFonts w:ascii="Arial"/>
          <w:color w:val="000000"/>
          <w:sz w:val="18"/>
          <w:lang w:val="ru-RU"/>
        </w:rPr>
        <w:t>Повідомлення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рубежі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кнопки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кнопок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надходять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централізованого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спостереження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09" w:name="100"/>
      <w:bookmarkEnd w:id="108"/>
      <w:r w:rsidRPr="001F5352">
        <w:rPr>
          <w:rFonts w:ascii="Arial"/>
          <w:color w:val="000000"/>
          <w:sz w:val="18"/>
          <w:lang w:val="ru-RU"/>
        </w:rPr>
        <w:t xml:space="preserve">2)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аптечні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склади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склади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фармацевтичних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підприємствах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</w:t>
      </w:r>
      <w:r w:rsidRPr="001F5352">
        <w:rPr>
          <w:rFonts w:ascii="Arial"/>
          <w:color w:val="000000"/>
          <w:sz w:val="18"/>
          <w:lang w:val="ru-RU"/>
        </w:rPr>
        <w:t>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розробки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виробництва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багатору</w:t>
      </w:r>
      <w:r w:rsidRPr="001F5352">
        <w:rPr>
          <w:rFonts w:ascii="Arial"/>
          <w:color w:val="000000"/>
          <w:sz w:val="18"/>
          <w:lang w:val="ru-RU"/>
        </w:rPr>
        <w:t>біжними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системами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0" w:name="101"/>
      <w:bookmarkEnd w:id="109"/>
      <w:r w:rsidRPr="001F5352">
        <w:rPr>
          <w:rFonts w:ascii="Arial"/>
          <w:color w:val="000000"/>
          <w:sz w:val="18"/>
          <w:lang w:val="ru-RU"/>
        </w:rPr>
        <w:t>Першим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периметр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люки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канали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підлоги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елементи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доступні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ззовні</w:t>
      </w:r>
      <w:r w:rsidRPr="001F5352">
        <w:rPr>
          <w:rFonts w:ascii="Arial"/>
          <w:color w:val="000000"/>
          <w:sz w:val="18"/>
          <w:lang w:val="ru-RU"/>
        </w:rPr>
        <w:t xml:space="preserve">).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>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першого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1" w:name="102"/>
      <w:bookmarkEnd w:id="110"/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блокуються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Некапітальні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комунікацій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ударну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2" w:name="103"/>
      <w:bookmarkEnd w:id="111"/>
      <w:r w:rsidRPr="001F5352">
        <w:rPr>
          <w:rFonts w:ascii="Arial"/>
          <w:color w:val="000000"/>
          <w:sz w:val="18"/>
          <w:lang w:val="ru-RU"/>
        </w:rPr>
        <w:t>Другим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площі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другого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</w:t>
      </w:r>
      <w:r w:rsidRPr="001F5352">
        <w:rPr>
          <w:rFonts w:ascii="Arial"/>
          <w:color w:val="000000"/>
          <w:sz w:val="18"/>
          <w:lang w:val="ru-RU"/>
        </w:rPr>
        <w:t>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3" w:name="104"/>
      <w:bookmarkEnd w:id="112"/>
      <w:r w:rsidRPr="001F5352">
        <w:rPr>
          <w:rFonts w:ascii="Arial"/>
          <w:color w:val="000000"/>
          <w:sz w:val="18"/>
          <w:lang w:val="ru-RU"/>
        </w:rPr>
        <w:t>Третім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безпосередньо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сховища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сейфи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ящики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При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цьому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4" w:name="105"/>
      <w:bookmarkEnd w:id="113"/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окремі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підключаються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кнопки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тривожної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персоналом</w:t>
      </w:r>
      <w:r w:rsidRPr="001F5352">
        <w:rPr>
          <w:rFonts w:ascii="Arial"/>
          <w:color w:val="000000"/>
          <w:sz w:val="18"/>
          <w:lang w:val="ru-RU"/>
        </w:rPr>
        <w:t>,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виконує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операції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подачі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нападу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загрози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життю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людей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5" w:name="106"/>
      <w:bookmarkEnd w:id="114"/>
      <w:r w:rsidRPr="001F5352">
        <w:rPr>
          <w:rFonts w:ascii="Arial"/>
          <w:color w:val="000000"/>
          <w:sz w:val="18"/>
          <w:lang w:val="ru-RU"/>
        </w:rPr>
        <w:t>Повідомлення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кнопки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кнопок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надхо</w:t>
      </w:r>
      <w:r w:rsidRPr="001F5352">
        <w:rPr>
          <w:rFonts w:ascii="Arial"/>
          <w:color w:val="000000"/>
          <w:sz w:val="18"/>
          <w:lang w:val="ru-RU"/>
        </w:rPr>
        <w:t>дять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централізованого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спостереження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6" w:name="107"/>
      <w:bookmarkEnd w:id="115"/>
      <w:r w:rsidRPr="001F5352">
        <w:rPr>
          <w:rFonts w:ascii="Arial"/>
          <w:color w:val="000000"/>
          <w:sz w:val="18"/>
          <w:lang w:val="ru-RU"/>
        </w:rPr>
        <w:t xml:space="preserve">3)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>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крім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зазначених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підпунктах</w:t>
      </w:r>
      <w:r w:rsidRPr="001F5352">
        <w:rPr>
          <w:rFonts w:ascii="Arial"/>
          <w:color w:val="000000"/>
          <w:sz w:val="18"/>
          <w:lang w:val="ru-RU"/>
        </w:rPr>
        <w:t xml:space="preserve"> 4, 6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багаторубіжними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системами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7" w:name="108"/>
      <w:bookmarkEnd w:id="116"/>
      <w:r w:rsidRPr="001F5352">
        <w:rPr>
          <w:rFonts w:ascii="Arial"/>
          <w:color w:val="000000"/>
          <w:sz w:val="18"/>
          <w:lang w:val="ru-RU"/>
        </w:rPr>
        <w:t>Першим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периметр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конструкцій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люки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>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канали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підлоги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елементи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доступні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ззовні</w:t>
      </w:r>
      <w:r w:rsidRPr="001F5352">
        <w:rPr>
          <w:rFonts w:ascii="Arial"/>
          <w:color w:val="000000"/>
          <w:sz w:val="18"/>
          <w:lang w:val="ru-RU"/>
        </w:rPr>
        <w:t xml:space="preserve">).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першого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8" w:name="109"/>
      <w:bookmarkEnd w:id="117"/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блокуються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</w:t>
      </w:r>
      <w:r w:rsidRPr="001F5352">
        <w:rPr>
          <w:rFonts w:ascii="Arial"/>
          <w:color w:val="000000"/>
          <w:sz w:val="18"/>
          <w:lang w:val="ru-RU"/>
        </w:rPr>
        <w:t>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Некапітальні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комунікацій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ударну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19" w:name="110"/>
      <w:bookmarkEnd w:id="118"/>
      <w:r w:rsidRPr="001F5352">
        <w:rPr>
          <w:rFonts w:ascii="Arial"/>
          <w:color w:val="000000"/>
          <w:sz w:val="18"/>
          <w:lang w:val="ru-RU"/>
        </w:rPr>
        <w:t>Другим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площі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захисту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другого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0" w:name="111"/>
      <w:bookmarkEnd w:id="119"/>
      <w:r w:rsidRPr="001F5352">
        <w:rPr>
          <w:rFonts w:ascii="Arial"/>
          <w:color w:val="000000"/>
          <w:sz w:val="18"/>
          <w:lang w:val="ru-RU"/>
        </w:rPr>
        <w:t>Третім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безпосередньо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сховища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сейфи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ящики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При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цьому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застосовуються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1" w:name="112"/>
      <w:bookmarkEnd w:id="120"/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окремі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підключаються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точкові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електрок</w:t>
      </w:r>
      <w:r w:rsidRPr="001F5352">
        <w:rPr>
          <w:rFonts w:ascii="Arial"/>
          <w:color w:val="000000"/>
          <w:sz w:val="18"/>
          <w:lang w:val="ru-RU"/>
        </w:rPr>
        <w:t>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>/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магнітоконтактні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сповіщувачі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кнопки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тривожної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персоналом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виконує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операції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подачі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разі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нападу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загрози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житт</w:t>
      </w:r>
      <w:r w:rsidRPr="001F5352">
        <w:rPr>
          <w:rFonts w:ascii="Arial"/>
          <w:color w:val="000000"/>
          <w:sz w:val="18"/>
          <w:lang w:val="ru-RU"/>
        </w:rPr>
        <w:t>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людей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2" w:name="113"/>
      <w:bookmarkEnd w:id="121"/>
      <w:r w:rsidRPr="001F5352">
        <w:rPr>
          <w:rFonts w:ascii="Arial"/>
          <w:color w:val="000000"/>
          <w:sz w:val="18"/>
          <w:lang w:val="ru-RU"/>
        </w:rPr>
        <w:t>Повідомлення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рубежів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кнопки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кнопок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надходять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централізованого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спостереження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3" w:name="114"/>
      <w:bookmarkEnd w:id="122"/>
      <w:r w:rsidRPr="001F5352">
        <w:rPr>
          <w:rFonts w:ascii="Arial"/>
          <w:color w:val="000000"/>
          <w:sz w:val="18"/>
          <w:lang w:val="ru-RU"/>
        </w:rPr>
        <w:t xml:space="preserve">4)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аптеках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дільничних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лікарнях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сімейної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сільських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відділеннях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денного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стаціонар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вимірювальних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діагностичних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науково</w:t>
      </w:r>
      <w:r w:rsidRPr="001F5352">
        <w:rPr>
          <w:rFonts w:ascii="Arial"/>
          <w:color w:val="000000"/>
          <w:sz w:val="18"/>
          <w:lang w:val="ru-RU"/>
        </w:rPr>
        <w:t>-</w:t>
      </w:r>
      <w:r w:rsidRPr="001F5352">
        <w:rPr>
          <w:rFonts w:ascii="Arial"/>
          <w:color w:val="000000"/>
          <w:sz w:val="18"/>
          <w:lang w:val="ru-RU"/>
        </w:rPr>
        <w:t>дослідних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інститутах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навчальних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контролю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якості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експертних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установ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фізичних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осіб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підприємців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</w:t>
      </w:r>
      <w:r w:rsidRPr="001F5352">
        <w:rPr>
          <w:rFonts w:ascii="Arial"/>
          <w:color w:val="000000"/>
          <w:sz w:val="18"/>
          <w:lang w:val="ru-RU"/>
        </w:rPr>
        <w:t>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медичної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lastRenderedPageBreak/>
        <w:t>захищає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периметрів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: </w:t>
      </w:r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канали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теплові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елементи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доступні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ззовні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4" w:name="115"/>
      <w:bookmarkEnd w:id="123"/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блокуються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Некапітальні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комунікацій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ударну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виведенням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пульти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централізованого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спостереження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5" w:name="116"/>
      <w:bookmarkEnd w:id="124"/>
      <w:r w:rsidRPr="001F5352">
        <w:rPr>
          <w:rFonts w:ascii="Arial"/>
          <w:color w:val="000000"/>
          <w:sz w:val="18"/>
          <w:lang w:val="ru-RU"/>
        </w:rPr>
        <w:t xml:space="preserve">5)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розроблення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виробництва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крім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указаних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підпункті</w:t>
      </w:r>
      <w:r w:rsidRPr="001F5352">
        <w:rPr>
          <w:rFonts w:ascii="Arial"/>
          <w:color w:val="000000"/>
          <w:sz w:val="18"/>
          <w:lang w:val="ru-RU"/>
        </w:rPr>
        <w:t xml:space="preserve"> 6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будівельн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периметрів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: </w:t>
      </w:r>
      <w:r w:rsidRPr="001F5352">
        <w:rPr>
          <w:rFonts w:ascii="Arial"/>
          <w:color w:val="000000"/>
          <w:sz w:val="18"/>
          <w:lang w:val="ru-RU"/>
        </w:rPr>
        <w:t>віконні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дверні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отвори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канали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теплові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інші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елементи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доступні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проникнення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ззовні</w:t>
      </w:r>
      <w:r w:rsidRPr="001F5352">
        <w:rPr>
          <w:rFonts w:ascii="Arial"/>
          <w:color w:val="000000"/>
          <w:sz w:val="18"/>
          <w:lang w:val="ru-RU"/>
        </w:rPr>
        <w:t>.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6" w:name="117"/>
      <w:bookmarkEnd w:id="125"/>
      <w:r w:rsidRPr="001F5352">
        <w:rPr>
          <w:rFonts w:ascii="Arial"/>
          <w:color w:val="000000"/>
          <w:sz w:val="18"/>
          <w:lang w:val="ru-RU"/>
        </w:rPr>
        <w:t>Двері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блокуються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Вікна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сигналізацією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відкривання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скла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Некапітальні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стелі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місця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вводу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комунікацій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проломлювання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 w:rsidRPr="001F5352">
        <w:rPr>
          <w:rFonts w:ascii="Arial"/>
          <w:color w:val="000000"/>
          <w:sz w:val="18"/>
          <w:lang w:val="ru-RU"/>
        </w:rPr>
        <w:t>Капітальні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стіни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вентиляційні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коробки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руйнування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ударну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виведенням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сигналу</w:t>
      </w:r>
      <w:r w:rsidRPr="001F5352">
        <w:rPr>
          <w:rFonts w:ascii="Arial"/>
          <w:color w:val="000000"/>
          <w:sz w:val="18"/>
          <w:lang w:val="ru-RU"/>
        </w:rPr>
        <w:t xml:space="preserve"> "</w:t>
      </w:r>
      <w:r w:rsidRPr="001F5352">
        <w:rPr>
          <w:rFonts w:ascii="Arial"/>
          <w:color w:val="000000"/>
          <w:sz w:val="18"/>
          <w:lang w:val="ru-RU"/>
        </w:rPr>
        <w:t>тривога</w:t>
      </w:r>
      <w:r w:rsidRPr="001F5352">
        <w:rPr>
          <w:rFonts w:ascii="Arial"/>
          <w:color w:val="000000"/>
          <w:sz w:val="18"/>
          <w:lang w:val="ru-RU"/>
        </w:rPr>
        <w:t xml:space="preserve">"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пульти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централізованого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спостереження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</w:t>
      </w:r>
      <w:r w:rsidRPr="001F5352">
        <w:rPr>
          <w:rFonts w:ascii="Arial"/>
          <w:color w:val="000000"/>
          <w:sz w:val="18"/>
          <w:lang w:val="ru-RU"/>
        </w:rPr>
        <w:t>сті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7" w:name="118"/>
      <w:bookmarkEnd w:id="126"/>
      <w:r w:rsidRPr="001F5352">
        <w:rPr>
          <w:rFonts w:ascii="Arial"/>
          <w:color w:val="000000"/>
          <w:sz w:val="18"/>
          <w:lang w:val="ru-RU"/>
        </w:rPr>
        <w:t xml:space="preserve">6)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аптеках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дільничних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лікарнях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амбулаторіях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сімейної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сільських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лікарських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амбулат</w:t>
      </w:r>
      <w:r w:rsidRPr="001F5352">
        <w:rPr>
          <w:rFonts w:ascii="Arial"/>
          <w:color w:val="000000"/>
          <w:sz w:val="18"/>
          <w:lang w:val="ru-RU"/>
        </w:rPr>
        <w:t>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відділеннях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здоров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вимірювальних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діагностичних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медицини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науково</w:t>
      </w:r>
      <w:r w:rsidRPr="001F5352">
        <w:rPr>
          <w:rFonts w:ascii="Arial"/>
          <w:color w:val="000000"/>
          <w:sz w:val="18"/>
          <w:lang w:val="ru-RU"/>
        </w:rPr>
        <w:t>-</w:t>
      </w:r>
      <w:r w:rsidRPr="001F5352">
        <w:rPr>
          <w:rFonts w:ascii="Arial"/>
          <w:color w:val="000000"/>
          <w:sz w:val="18"/>
          <w:lang w:val="ru-RU"/>
        </w:rPr>
        <w:t>дослідних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інститутах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навчальних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закладах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контролю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якості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лабораторіях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експертних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установ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фізични</w:t>
      </w:r>
      <w:r w:rsidRPr="001F5352">
        <w:rPr>
          <w:rFonts w:ascii="Arial"/>
          <w:color w:val="000000"/>
          <w:sz w:val="18"/>
          <w:lang w:val="ru-RU"/>
        </w:rPr>
        <w:t>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осіб</w:t>
      </w:r>
      <w:r w:rsidRPr="001F5352">
        <w:rPr>
          <w:rFonts w:ascii="Arial"/>
          <w:color w:val="000000"/>
          <w:sz w:val="18"/>
          <w:lang w:val="ru-RU"/>
        </w:rPr>
        <w:t xml:space="preserve"> - </w:t>
      </w:r>
      <w:r w:rsidRPr="001F5352">
        <w:rPr>
          <w:rFonts w:ascii="Arial"/>
          <w:color w:val="000000"/>
          <w:sz w:val="18"/>
          <w:lang w:val="ru-RU"/>
        </w:rPr>
        <w:t>підприємців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медичної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ліцензію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провадження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ветеринарної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практики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одночасного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щомісячного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препаратів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</w:t>
      </w:r>
      <w:r w:rsidRPr="001F5352">
        <w:rPr>
          <w:rFonts w:ascii="Arial"/>
          <w:color w:val="000000"/>
          <w:sz w:val="18"/>
          <w:lang w:val="ru-RU"/>
        </w:rPr>
        <w:t>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загальна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кількість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діючої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перевищує</w:t>
      </w:r>
      <w:r w:rsidRPr="001F5352">
        <w:rPr>
          <w:rFonts w:ascii="Arial"/>
          <w:color w:val="000000"/>
          <w:sz w:val="18"/>
          <w:lang w:val="ru-RU"/>
        </w:rPr>
        <w:t xml:space="preserve"> 10 </w:t>
      </w:r>
      <w:r w:rsidRPr="001F5352">
        <w:rPr>
          <w:rFonts w:ascii="Arial"/>
          <w:color w:val="000000"/>
          <w:sz w:val="18"/>
          <w:lang w:val="ru-RU"/>
        </w:rPr>
        <w:t>грамів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)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місячного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обсягу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запасу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біл</w:t>
      </w:r>
      <w:r w:rsidRPr="001F5352">
        <w:rPr>
          <w:rFonts w:ascii="Arial"/>
          <w:color w:val="000000"/>
          <w:sz w:val="18"/>
          <w:lang w:val="ru-RU"/>
        </w:rPr>
        <w:t>ьше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ніж</w:t>
      </w:r>
      <w:r w:rsidRPr="001F5352">
        <w:rPr>
          <w:rFonts w:ascii="Arial"/>
          <w:color w:val="000000"/>
          <w:sz w:val="18"/>
          <w:lang w:val="ru-RU"/>
        </w:rPr>
        <w:t xml:space="preserve"> 15 </w:t>
      </w:r>
      <w:r w:rsidRPr="001F5352">
        <w:rPr>
          <w:rFonts w:ascii="Arial"/>
          <w:color w:val="000000"/>
          <w:sz w:val="18"/>
          <w:lang w:val="ru-RU"/>
        </w:rPr>
        <w:t>кілограмів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літрів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автономної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захищають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сейфи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металеві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шафи</w:t>
      </w:r>
      <w:r w:rsidRPr="001F5352">
        <w:rPr>
          <w:rFonts w:ascii="Arial"/>
          <w:color w:val="000000"/>
          <w:sz w:val="18"/>
          <w:lang w:val="ru-RU"/>
        </w:rPr>
        <w:t xml:space="preserve">),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обладнанням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місцевими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звуковими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світловими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сигналізаторами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28" w:name="119"/>
      <w:bookmarkEnd w:id="127"/>
      <w:r w:rsidRPr="001F5352">
        <w:rPr>
          <w:rFonts w:ascii="Arial"/>
          <w:color w:val="000000"/>
          <w:sz w:val="18"/>
          <w:lang w:val="ru-RU"/>
        </w:rPr>
        <w:t xml:space="preserve">7) </w:t>
      </w:r>
      <w:r w:rsidRPr="001F5352">
        <w:rPr>
          <w:rFonts w:ascii="Arial"/>
          <w:color w:val="000000"/>
          <w:sz w:val="18"/>
          <w:lang w:val="ru-RU"/>
        </w:rPr>
        <w:t>приміщення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використовуються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здійснення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господарської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щодо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знищення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включених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списку</w:t>
      </w:r>
      <w:r w:rsidRPr="001F5352">
        <w:rPr>
          <w:rFonts w:ascii="Arial"/>
          <w:color w:val="000000"/>
          <w:sz w:val="18"/>
          <w:lang w:val="ru-RU"/>
        </w:rPr>
        <w:t xml:space="preserve"> 3 </w:t>
      </w:r>
      <w:r w:rsidRPr="001F5352">
        <w:rPr>
          <w:rFonts w:ascii="Arial"/>
          <w:color w:val="000000"/>
          <w:sz w:val="18"/>
          <w:lang w:val="ru-RU"/>
        </w:rPr>
        <w:t>таблиці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обладнуються</w:t>
      </w:r>
      <w:r w:rsidRPr="001F5352">
        <w:rPr>
          <w:rFonts w:ascii="Arial"/>
          <w:color w:val="000000"/>
          <w:sz w:val="18"/>
          <w:lang w:val="ru-RU"/>
        </w:rPr>
        <w:t>: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129" w:name="145"/>
      <w:bookmarkEnd w:id="128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абзац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перший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підпункту</w:t>
      </w:r>
      <w:r w:rsidRPr="001F5352">
        <w:rPr>
          <w:rFonts w:ascii="Arial"/>
          <w:color w:val="000000"/>
          <w:sz w:val="18"/>
          <w:lang w:val="ru-RU"/>
        </w:rPr>
        <w:t xml:space="preserve"> 7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змінами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внесеними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згідно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наказом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 xml:space="preserve">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30" w:name="120"/>
      <w:bookmarkEnd w:id="129"/>
      <w:r w:rsidRPr="001F5352">
        <w:rPr>
          <w:rFonts w:ascii="Arial"/>
          <w:color w:val="000000"/>
          <w:sz w:val="18"/>
          <w:lang w:val="ru-RU"/>
        </w:rPr>
        <w:t>системою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захищає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будівельні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конструкції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периметрів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внутрішні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площі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приміщень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підключенням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централізованого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спостереження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охоронної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діяльності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або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засобами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автономної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виведе</w:t>
      </w:r>
      <w:r w:rsidRPr="001F5352">
        <w:rPr>
          <w:rFonts w:ascii="Arial"/>
          <w:color w:val="000000"/>
          <w:sz w:val="18"/>
          <w:lang w:val="ru-RU"/>
        </w:rPr>
        <w:t>нням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тривожних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оповіщень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звукові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світлові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сигналізатори</w:t>
      </w:r>
      <w:r w:rsidRPr="001F5352">
        <w:rPr>
          <w:rFonts w:ascii="Arial"/>
          <w:color w:val="000000"/>
          <w:sz w:val="18"/>
          <w:lang w:val="ru-RU"/>
        </w:rPr>
        <w:t xml:space="preserve"> (</w:t>
      </w:r>
      <w:r w:rsidRPr="001F5352">
        <w:rPr>
          <w:rFonts w:ascii="Arial"/>
          <w:color w:val="000000"/>
          <w:sz w:val="18"/>
          <w:lang w:val="ru-RU"/>
        </w:rPr>
        <w:t>зазначена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вимога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поширюється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зберігання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знищення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роду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коноплі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для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промислових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цілей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умови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використання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насіння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зібраного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сортів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рослин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висушеній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соломі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яких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вміст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тетр</w:t>
      </w:r>
      <w:r w:rsidRPr="001F5352">
        <w:rPr>
          <w:rFonts w:ascii="Arial"/>
          <w:color w:val="000000"/>
          <w:sz w:val="18"/>
          <w:lang w:val="ru-RU"/>
        </w:rPr>
        <w:t>агідроканабінолу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перевищує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вмісту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визначеного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постановою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Кабінету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Міністрів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06 </w:t>
      </w:r>
      <w:r w:rsidRPr="001F5352">
        <w:rPr>
          <w:rFonts w:ascii="Arial"/>
          <w:color w:val="000000"/>
          <w:sz w:val="18"/>
          <w:lang w:val="ru-RU"/>
        </w:rPr>
        <w:t>травня</w:t>
      </w:r>
      <w:r w:rsidRPr="001F5352">
        <w:rPr>
          <w:rFonts w:ascii="Arial"/>
          <w:color w:val="000000"/>
          <w:sz w:val="18"/>
          <w:lang w:val="ru-RU"/>
        </w:rPr>
        <w:t xml:space="preserve"> 2000 </w:t>
      </w:r>
      <w:r w:rsidRPr="001F5352">
        <w:rPr>
          <w:rFonts w:ascii="Arial"/>
          <w:color w:val="000000"/>
          <w:sz w:val="18"/>
          <w:lang w:val="ru-RU"/>
        </w:rPr>
        <w:t>року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770 "</w:t>
      </w:r>
      <w:r w:rsidRPr="001F5352">
        <w:rPr>
          <w:rFonts w:ascii="Arial"/>
          <w:color w:val="000000"/>
          <w:sz w:val="18"/>
          <w:lang w:val="ru-RU"/>
        </w:rPr>
        <w:t>Про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затвердження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переліку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наркотичних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засобів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психотропних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речовин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прекурсорів</w:t>
      </w:r>
      <w:r w:rsidRPr="001F5352">
        <w:rPr>
          <w:rFonts w:ascii="Arial"/>
          <w:color w:val="000000"/>
          <w:sz w:val="18"/>
          <w:lang w:val="ru-RU"/>
        </w:rPr>
        <w:t>");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31" w:name="121"/>
      <w:bookmarkEnd w:id="130"/>
      <w:r w:rsidRPr="001F5352">
        <w:rPr>
          <w:rFonts w:ascii="Arial"/>
          <w:color w:val="000000"/>
          <w:sz w:val="18"/>
          <w:lang w:val="ru-RU"/>
        </w:rPr>
        <w:t>місцем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очищення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насіння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маку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яке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ізольоване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заг</w:t>
      </w:r>
      <w:r w:rsidRPr="001F5352">
        <w:rPr>
          <w:rFonts w:ascii="Arial"/>
          <w:color w:val="000000"/>
          <w:sz w:val="18"/>
          <w:lang w:val="ru-RU"/>
        </w:rPr>
        <w:t>альної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території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суб</w:t>
      </w:r>
      <w:r w:rsidRPr="001F5352">
        <w:rPr>
          <w:rFonts w:ascii="Arial"/>
          <w:color w:val="000000"/>
          <w:sz w:val="18"/>
          <w:lang w:val="ru-RU"/>
        </w:rPr>
        <w:t>'</w:t>
      </w:r>
      <w:r w:rsidRPr="001F5352">
        <w:rPr>
          <w:rFonts w:ascii="Arial"/>
          <w:color w:val="000000"/>
          <w:sz w:val="18"/>
          <w:lang w:val="ru-RU"/>
        </w:rPr>
        <w:t>єкта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господарювання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і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має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огорожу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що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обмежує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вільний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доступ</w:t>
      </w:r>
      <w:r w:rsidRPr="001F5352">
        <w:rPr>
          <w:rFonts w:ascii="Arial"/>
          <w:color w:val="000000"/>
          <w:sz w:val="18"/>
          <w:lang w:val="ru-RU"/>
        </w:rPr>
        <w:t xml:space="preserve">, </w:t>
      </w:r>
      <w:r w:rsidRPr="001F5352">
        <w:rPr>
          <w:rFonts w:ascii="Arial"/>
          <w:color w:val="000000"/>
          <w:sz w:val="18"/>
          <w:lang w:val="ru-RU"/>
        </w:rPr>
        <w:t>та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пропускними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пунктами</w:t>
      </w:r>
      <w:r w:rsidRPr="001F5352">
        <w:rPr>
          <w:rFonts w:ascii="Arial"/>
          <w:color w:val="000000"/>
          <w:sz w:val="18"/>
          <w:lang w:val="ru-RU"/>
        </w:rPr>
        <w:t>;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132" w:name="146"/>
      <w:bookmarkEnd w:id="131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абзац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третій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підпункту</w:t>
      </w:r>
      <w:r w:rsidRPr="001F5352">
        <w:rPr>
          <w:rFonts w:ascii="Arial"/>
          <w:color w:val="000000"/>
          <w:sz w:val="18"/>
          <w:lang w:val="ru-RU"/>
        </w:rPr>
        <w:t xml:space="preserve"> 7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1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редакції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наказу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Default="001F5352">
      <w:pPr>
        <w:spacing w:after="0"/>
        <w:ind w:firstLine="240"/>
      </w:pPr>
      <w:bookmarkStart w:id="133" w:name="122"/>
      <w:bookmarkEnd w:id="132"/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158C4" w:rsidRDefault="001F5352">
      <w:pPr>
        <w:spacing w:after="0"/>
        <w:ind w:firstLine="240"/>
      </w:pPr>
      <w:bookmarkStart w:id="134" w:name="123"/>
      <w:bookmarkEnd w:id="133"/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;</w:t>
      </w:r>
    </w:p>
    <w:p w:rsidR="008158C4" w:rsidRDefault="001F5352">
      <w:pPr>
        <w:spacing w:after="0"/>
        <w:ind w:firstLine="240"/>
        <w:jc w:val="right"/>
      </w:pPr>
      <w:bookmarkStart w:id="135" w:name="150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587)</w:t>
      </w:r>
    </w:p>
    <w:p w:rsidR="008158C4" w:rsidRDefault="001F5352">
      <w:pPr>
        <w:spacing w:after="0"/>
        <w:ind w:firstLine="240"/>
      </w:pPr>
      <w:bookmarkStart w:id="136" w:name="148"/>
      <w:bookmarkEnd w:id="1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.</w:t>
      </w:r>
    </w:p>
    <w:p w:rsidR="008158C4" w:rsidRDefault="001F5352">
      <w:pPr>
        <w:spacing w:after="0"/>
        <w:ind w:firstLine="240"/>
        <w:jc w:val="right"/>
      </w:pPr>
      <w:bookmarkStart w:id="137" w:name="149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587)</w:t>
      </w:r>
    </w:p>
    <w:p w:rsidR="008158C4" w:rsidRDefault="001F5352">
      <w:pPr>
        <w:spacing w:after="0"/>
        <w:ind w:firstLine="240"/>
      </w:pPr>
      <w:bookmarkStart w:id="138" w:name="124"/>
      <w:bookmarkEnd w:id="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):</w:t>
      </w:r>
    </w:p>
    <w:p w:rsidR="008158C4" w:rsidRDefault="001F5352">
      <w:pPr>
        <w:spacing w:after="0"/>
        <w:ind w:firstLine="240"/>
      </w:pPr>
      <w:bookmarkStart w:id="139" w:name="125"/>
      <w:bookmarkEnd w:id="13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>:</w:t>
      </w:r>
    </w:p>
    <w:p w:rsidR="008158C4" w:rsidRDefault="001F5352">
      <w:pPr>
        <w:spacing w:after="0"/>
        <w:ind w:firstLine="240"/>
      </w:pPr>
      <w:bookmarkStart w:id="140" w:name="126"/>
      <w:bookmarkEnd w:id="139"/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;</w:t>
      </w:r>
    </w:p>
    <w:p w:rsidR="008158C4" w:rsidRDefault="001F5352">
      <w:pPr>
        <w:spacing w:after="0"/>
        <w:ind w:firstLine="240"/>
      </w:pPr>
      <w:bookmarkStart w:id="141" w:name="127"/>
      <w:bookmarkEnd w:id="140"/>
      <w:r>
        <w:rPr>
          <w:rFonts w:ascii="Arial"/>
          <w:color w:val="000000"/>
          <w:sz w:val="18"/>
        </w:rPr>
        <w:t>пропускними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>;</w:t>
      </w:r>
    </w:p>
    <w:p w:rsidR="008158C4" w:rsidRDefault="001F5352">
      <w:pPr>
        <w:spacing w:after="0"/>
        <w:ind w:firstLine="240"/>
      </w:pPr>
      <w:bookmarkStart w:id="142" w:name="128"/>
      <w:bookmarkEnd w:id="141"/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>;</w:t>
      </w:r>
    </w:p>
    <w:p w:rsidR="008158C4" w:rsidRDefault="001F5352">
      <w:pPr>
        <w:spacing w:after="0"/>
        <w:ind w:firstLine="240"/>
      </w:pPr>
      <w:bookmarkStart w:id="143" w:name="129"/>
      <w:bookmarkEnd w:id="1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тетрагідроканабінолу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.</w:t>
      </w:r>
    </w:p>
    <w:p w:rsidR="008158C4" w:rsidRPr="001F5352" w:rsidRDefault="001F5352">
      <w:pPr>
        <w:spacing w:after="0"/>
        <w:ind w:firstLine="240"/>
        <w:jc w:val="right"/>
        <w:rPr>
          <w:lang w:val="ru-RU"/>
        </w:rPr>
      </w:pPr>
      <w:bookmarkStart w:id="144" w:name="151"/>
      <w:bookmarkEnd w:id="143"/>
      <w:r w:rsidRPr="001F5352">
        <w:rPr>
          <w:rFonts w:ascii="Arial"/>
          <w:color w:val="000000"/>
          <w:sz w:val="18"/>
          <w:lang w:val="ru-RU"/>
        </w:rPr>
        <w:t>(</w:t>
      </w:r>
      <w:r w:rsidRPr="001F5352">
        <w:rPr>
          <w:rFonts w:ascii="Arial"/>
          <w:color w:val="000000"/>
          <w:sz w:val="18"/>
          <w:lang w:val="ru-RU"/>
        </w:rPr>
        <w:t>підпункт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пункту</w:t>
      </w:r>
      <w:r w:rsidRPr="001F5352">
        <w:rPr>
          <w:rFonts w:ascii="Arial"/>
          <w:color w:val="000000"/>
          <w:sz w:val="18"/>
          <w:lang w:val="ru-RU"/>
        </w:rPr>
        <w:t xml:space="preserve"> 2 </w:t>
      </w:r>
      <w:r w:rsidRPr="001F5352">
        <w:rPr>
          <w:rFonts w:ascii="Arial"/>
          <w:color w:val="000000"/>
          <w:sz w:val="18"/>
          <w:lang w:val="ru-RU"/>
        </w:rPr>
        <w:t>розділу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ред</w:t>
      </w:r>
      <w:r w:rsidRPr="001F5352">
        <w:rPr>
          <w:rFonts w:ascii="Arial"/>
          <w:color w:val="000000"/>
          <w:sz w:val="18"/>
          <w:lang w:val="ru-RU"/>
        </w:rPr>
        <w:t>акції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наказу</w:t>
      </w:r>
      <w:r w:rsidRPr="001F5352">
        <w:rPr>
          <w:lang w:val="ru-RU"/>
        </w:rPr>
        <w:br/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Міністерства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внутрішніх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справ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України</w:t>
      </w:r>
      <w:r w:rsidRPr="001F5352">
        <w:rPr>
          <w:rFonts w:ascii="Arial"/>
          <w:color w:val="000000"/>
          <w:sz w:val="18"/>
          <w:lang w:val="ru-RU"/>
        </w:rPr>
        <w:t xml:space="preserve"> </w:t>
      </w:r>
      <w:r w:rsidRPr="001F5352">
        <w:rPr>
          <w:rFonts w:ascii="Arial"/>
          <w:color w:val="000000"/>
          <w:sz w:val="18"/>
          <w:lang w:val="ru-RU"/>
        </w:rPr>
        <w:t>від</w:t>
      </w:r>
      <w:r w:rsidRPr="001F5352">
        <w:rPr>
          <w:rFonts w:ascii="Arial"/>
          <w:color w:val="000000"/>
          <w:sz w:val="18"/>
          <w:lang w:val="ru-RU"/>
        </w:rPr>
        <w:t xml:space="preserve"> 26.08.2024 </w:t>
      </w:r>
      <w:r w:rsidRPr="001F5352">
        <w:rPr>
          <w:rFonts w:ascii="Arial"/>
          <w:color w:val="000000"/>
          <w:sz w:val="18"/>
          <w:lang w:val="ru-RU"/>
        </w:rPr>
        <w:t>р</w:t>
      </w:r>
      <w:r w:rsidRPr="001F5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5352">
        <w:rPr>
          <w:rFonts w:ascii="Arial"/>
          <w:color w:val="000000"/>
          <w:sz w:val="18"/>
          <w:lang w:val="ru-RU"/>
        </w:rPr>
        <w:t xml:space="preserve"> 587)</w:t>
      </w:r>
    </w:p>
    <w:p w:rsidR="008158C4" w:rsidRPr="001F5352" w:rsidRDefault="001F5352">
      <w:pPr>
        <w:spacing w:after="0"/>
        <w:ind w:firstLine="240"/>
        <w:rPr>
          <w:lang w:val="ru-RU"/>
        </w:rPr>
      </w:pPr>
      <w:bookmarkStart w:id="145" w:name="130"/>
      <w:bookmarkEnd w:id="144"/>
      <w:r w:rsidRPr="001F535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8"/>
        <w:gridCol w:w="4605"/>
      </w:tblGrid>
      <w:tr w:rsidR="008158C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158C4" w:rsidRPr="001F5352" w:rsidRDefault="001F5352">
            <w:pPr>
              <w:spacing w:after="0"/>
              <w:jc w:val="center"/>
              <w:rPr>
                <w:lang w:val="ru-RU"/>
              </w:rPr>
            </w:pPr>
            <w:bookmarkStart w:id="146" w:name="131"/>
            <w:bookmarkEnd w:id="145"/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формування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підконтрольних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Міністрові</w:t>
            </w:r>
            <w:r w:rsidRPr="001F5352">
              <w:rPr>
                <w:lang w:val="ru-RU"/>
              </w:rPr>
              <w:br/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органів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влади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моніторингу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F5352">
              <w:rPr>
                <w:rFonts w:ascii="Arial"/>
                <w:b/>
                <w:color w:val="000000"/>
                <w:sz w:val="15"/>
                <w:lang w:val="ru-RU"/>
              </w:rPr>
              <w:t>МВС</w:t>
            </w:r>
          </w:p>
        </w:tc>
        <w:tc>
          <w:tcPr>
            <w:tcW w:w="4845" w:type="dxa"/>
            <w:vAlign w:val="center"/>
          </w:tcPr>
          <w:p w:rsidR="008158C4" w:rsidRDefault="001F5352">
            <w:pPr>
              <w:spacing w:after="0"/>
              <w:jc w:val="center"/>
            </w:pPr>
            <w:bookmarkStart w:id="147" w:name="132"/>
            <w:bookmarkEnd w:id="14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Боднар</w:t>
            </w:r>
          </w:p>
        </w:tc>
        <w:bookmarkEnd w:id="147"/>
      </w:tr>
    </w:tbl>
    <w:p w:rsidR="008158C4" w:rsidRDefault="008158C4" w:rsidP="001F5352">
      <w:bookmarkStart w:id="148" w:name="_GoBack"/>
      <w:bookmarkEnd w:id="148"/>
    </w:p>
    <w:sectPr w:rsidR="00815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158C4"/>
    <w:rsid w:val="001F5352"/>
    <w:rsid w:val="008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6F320-9EEB-4A3C-9080-F4ADFEF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4244</Words>
  <Characters>26398</Characters>
  <Application>Microsoft Office Word</Application>
  <DocSecurity>0</DocSecurity>
  <Lines>507</Lines>
  <Paragraphs>364</Paragraphs>
  <ScaleCrop>false</ScaleCrop>
  <Company/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2024-10-02T23:13:00Z</dcterms:created>
  <dcterms:modified xsi:type="dcterms:W3CDTF">2024-10-02T23:14:00Z</dcterms:modified>
</cp:coreProperties>
</file>