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42" w:rsidRDefault="008A147E">
      <w:pPr>
        <w:spacing w:after="0"/>
        <w:jc w:val="center"/>
      </w:pPr>
      <w:bookmarkStart w:id="0" w:name="1"/>
      <w:r>
        <w:rPr>
          <w:noProof/>
          <w:lang w:val="uk-UA" w:eastAsia="uk-UA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F42" w:rsidRDefault="008A147E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МІНІСТЕРСТВО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ПРОДОВОЛЬСТВА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F54F42" w:rsidRDefault="008A147E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НАКАЗ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50"/>
        <w:gridCol w:w="2767"/>
        <w:gridCol w:w="3226"/>
      </w:tblGrid>
      <w:tr w:rsidR="00F54F42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F54F42" w:rsidRDefault="008A147E">
            <w:pPr>
              <w:spacing w:after="0"/>
              <w:jc w:val="center"/>
            </w:pPr>
            <w:bookmarkStart w:id="3" w:name="4"/>
            <w:bookmarkEnd w:id="2"/>
            <w:r>
              <w:rPr>
                <w:rFonts w:ascii="Arial"/>
                <w:b/>
                <w:color w:val="000000"/>
                <w:sz w:val="15"/>
              </w:rPr>
              <w:t>02.10.2023</w:t>
            </w:r>
          </w:p>
        </w:tc>
        <w:tc>
          <w:tcPr>
            <w:tcW w:w="2907" w:type="dxa"/>
            <w:vAlign w:val="center"/>
          </w:tcPr>
          <w:p w:rsidR="00F54F42" w:rsidRDefault="008A147E">
            <w:pPr>
              <w:spacing w:after="0"/>
              <w:jc w:val="center"/>
            </w:pPr>
            <w:bookmarkStart w:id="4" w:name="5"/>
            <w:bookmarkEnd w:id="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</w:p>
        </w:tc>
        <w:tc>
          <w:tcPr>
            <w:tcW w:w="3391" w:type="dxa"/>
            <w:vAlign w:val="center"/>
          </w:tcPr>
          <w:p w:rsidR="00F54F42" w:rsidRDefault="008A147E">
            <w:pPr>
              <w:spacing w:after="0"/>
              <w:jc w:val="center"/>
            </w:pPr>
            <w:bookmarkStart w:id="5" w:name="6"/>
            <w:bookmarkEnd w:id="4"/>
            <w:r>
              <w:rPr>
                <w:rFonts w:ascii="Arial"/>
                <w:b/>
                <w:color w:val="000000"/>
                <w:sz w:val="15"/>
              </w:rPr>
              <w:t>N 1743</w:t>
            </w:r>
          </w:p>
        </w:tc>
        <w:bookmarkEnd w:id="5"/>
      </w:tr>
    </w:tbl>
    <w:p w:rsidR="00F54F42" w:rsidRDefault="008A147E">
      <w:r>
        <w:br/>
      </w:r>
    </w:p>
    <w:p w:rsidR="00F54F42" w:rsidRDefault="008A147E">
      <w:pPr>
        <w:spacing w:after="0"/>
        <w:jc w:val="center"/>
      </w:pPr>
      <w:bookmarkStart w:id="6" w:name="7"/>
      <w:r>
        <w:rPr>
          <w:rFonts w:ascii="Arial"/>
          <w:b/>
          <w:color w:val="000000"/>
          <w:sz w:val="18"/>
        </w:rPr>
        <w:t>Зареєстровано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Міністерстві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юстиції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України</w:t>
      </w:r>
      <w:r>
        <w:br/>
      </w:r>
      <w:r>
        <w:rPr>
          <w:rFonts w:ascii="Arial"/>
          <w:b/>
          <w:color w:val="000000"/>
          <w:sz w:val="18"/>
        </w:rPr>
        <w:t xml:space="preserve">13 </w:t>
      </w:r>
      <w:r>
        <w:rPr>
          <w:rFonts w:ascii="Arial"/>
          <w:b/>
          <w:color w:val="000000"/>
          <w:sz w:val="18"/>
        </w:rPr>
        <w:t>листопада</w:t>
      </w:r>
      <w:r>
        <w:rPr>
          <w:rFonts w:ascii="Arial"/>
          <w:b/>
          <w:color w:val="000000"/>
          <w:sz w:val="18"/>
        </w:rPr>
        <w:t xml:space="preserve"> 2023 </w:t>
      </w:r>
      <w:r>
        <w:rPr>
          <w:rFonts w:ascii="Arial"/>
          <w:b/>
          <w:color w:val="000000"/>
          <w:sz w:val="18"/>
        </w:rPr>
        <w:t>р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за</w:t>
      </w:r>
      <w:r>
        <w:rPr>
          <w:rFonts w:ascii="Arial"/>
          <w:b/>
          <w:color w:val="000000"/>
          <w:sz w:val="18"/>
        </w:rPr>
        <w:t xml:space="preserve"> N 1961/41017</w:t>
      </w:r>
    </w:p>
    <w:p w:rsidR="00F54F42" w:rsidRDefault="008A147E">
      <w:pPr>
        <w:pStyle w:val="2"/>
        <w:spacing w:after="0"/>
        <w:jc w:val="center"/>
      </w:pPr>
      <w:bookmarkStart w:id="7" w:name="8"/>
      <w:bookmarkEnd w:id="6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письмової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контакту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підтверджують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зазначені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декларації</w:t>
      </w:r>
    </w:p>
    <w:p w:rsidR="00F54F42" w:rsidRDefault="008A147E">
      <w:pPr>
        <w:spacing w:after="0"/>
        <w:ind w:firstLine="240"/>
      </w:pPr>
      <w:bookmarkStart w:id="8" w:name="9"/>
      <w:bookmarkEnd w:id="7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Всеохоплюючої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імплементації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IV (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"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торгівлею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Європейським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228-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349, 350, 355 - 359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Європейським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1106,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124,</w:t>
      </w:r>
    </w:p>
    <w:p w:rsidR="00F54F42" w:rsidRDefault="008A147E">
      <w:pPr>
        <w:spacing w:after="0"/>
        <w:ind w:firstLine="240"/>
      </w:pPr>
      <w:bookmarkStart w:id="9" w:name="10"/>
      <w:bookmarkEnd w:id="8"/>
      <w:r>
        <w:rPr>
          <w:rFonts w:ascii="Arial"/>
          <w:b/>
          <w:color w:val="000000"/>
          <w:sz w:val="18"/>
        </w:rPr>
        <w:t>НАКАЗУЮ</w:t>
      </w:r>
      <w:r>
        <w:rPr>
          <w:rFonts w:ascii="Arial"/>
          <w:b/>
          <w:color w:val="000000"/>
          <w:sz w:val="18"/>
        </w:rPr>
        <w:t>:</w:t>
      </w:r>
    </w:p>
    <w:p w:rsidR="00F54F42" w:rsidRDefault="008A147E">
      <w:pPr>
        <w:spacing w:after="0"/>
        <w:ind w:firstLine="240"/>
      </w:pPr>
      <w:bookmarkStart w:id="10" w:name="11"/>
      <w:bookmarkEnd w:id="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.</w:t>
      </w:r>
    </w:p>
    <w:p w:rsidR="00F54F42" w:rsidRDefault="008A147E">
      <w:pPr>
        <w:spacing w:after="0"/>
        <w:ind w:firstLine="240"/>
      </w:pPr>
      <w:bookmarkStart w:id="11" w:name="12"/>
      <w:bookmarkEnd w:id="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>.</w:t>
      </w:r>
    </w:p>
    <w:p w:rsidR="00F54F42" w:rsidRDefault="008A147E">
      <w:pPr>
        <w:spacing w:after="0"/>
        <w:ind w:firstLine="240"/>
      </w:pPr>
      <w:bookmarkStart w:id="12" w:name="13"/>
      <w:bookmarkEnd w:id="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</w:t>
      </w:r>
      <w:r>
        <w:rPr>
          <w:rFonts w:ascii="Arial"/>
          <w:color w:val="000000"/>
          <w:sz w:val="18"/>
        </w:rPr>
        <w:t>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54F42" w:rsidRDefault="008A147E">
      <w:pPr>
        <w:spacing w:after="0"/>
        <w:ind w:firstLine="240"/>
      </w:pPr>
      <w:bookmarkStart w:id="13" w:name="14"/>
      <w:bookmarkEnd w:id="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>".</w:t>
      </w:r>
    </w:p>
    <w:p w:rsidR="00F54F42" w:rsidRDefault="008A147E">
      <w:pPr>
        <w:spacing w:after="0"/>
        <w:ind w:firstLine="240"/>
      </w:pPr>
      <w:bookmarkStart w:id="14" w:name="15"/>
      <w:bookmarkEnd w:id="1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F54F42" w:rsidRDefault="008A147E">
      <w:pPr>
        <w:spacing w:after="0"/>
        <w:ind w:firstLine="240"/>
      </w:pPr>
      <w:bookmarkStart w:id="15" w:name="16"/>
      <w:bookmarkEnd w:id="14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6"/>
        <w:gridCol w:w="4617"/>
      </w:tblGrid>
      <w:tr w:rsidR="00F54F4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F54F42" w:rsidRDefault="008A147E">
            <w:pPr>
              <w:spacing w:after="0"/>
              <w:jc w:val="center"/>
            </w:pPr>
            <w:bookmarkStart w:id="16" w:name="17"/>
            <w:bookmarkEnd w:id="15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F54F42" w:rsidRDefault="008A147E">
            <w:pPr>
              <w:spacing w:after="0"/>
              <w:jc w:val="center"/>
            </w:pPr>
            <w:bookmarkStart w:id="17" w:name="18"/>
            <w:bookmarkEnd w:id="16"/>
            <w:r>
              <w:rPr>
                <w:rFonts w:ascii="Arial"/>
                <w:b/>
                <w:color w:val="000000"/>
                <w:sz w:val="15"/>
              </w:rPr>
              <w:t>Микола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СОЛЬСЬКИЙ</w:t>
            </w:r>
          </w:p>
        </w:tc>
        <w:bookmarkEnd w:id="17"/>
      </w:tr>
      <w:tr w:rsidR="00F54F4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F54F42" w:rsidRDefault="008A147E">
            <w:pPr>
              <w:spacing w:after="0"/>
              <w:jc w:val="center"/>
            </w:pPr>
            <w:bookmarkStart w:id="18" w:name="19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F54F42" w:rsidRDefault="008A147E">
            <w:pPr>
              <w:spacing w:after="0"/>
              <w:jc w:val="center"/>
            </w:pPr>
            <w:bookmarkStart w:id="19" w:name="20"/>
            <w:bookmarkEnd w:id="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"/>
      </w:tr>
      <w:tr w:rsidR="00F54F4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F54F42" w:rsidRDefault="008A147E">
            <w:pPr>
              <w:spacing w:after="0"/>
              <w:jc w:val="center"/>
            </w:pPr>
            <w:bookmarkStart w:id="20" w:name="21"/>
            <w:r>
              <w:rPr>
                <w:rFonts w:ascii="Arial"/>
                <w:b/>
                <w:color w:val="000000"/>
                <w:sz w:val="15"/>
              </w:rPr>
              <w:t>Т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Голови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служби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питань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безпечності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харчових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продуктів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захисту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споживачів</w:t>
            </w:r>
          </w:p>
        </w:tc>
        <w:tc>
          <w:tcPr>
            <w:tcW w:w="4845" w:type="dxa"/>
            <w:vAlign w:val="center"/>
          </w:tcPr>
          <w:p w:rsidR="00F54F42" w:rsidRDefault="008A147E">
            <w:pPr>
              <w:spacing w:after="0"/>
              <w:jc w:val="center"/>
            </w:pPr>
            <w:bookmarkStart w:id="21" w:name="22"/>
            <w:bookmarkEnd w:id="20"/>
            <w:r>
              <w:rPr>
                <w:rFonts w:ascii="Arial"/>
                <w:b/>
                <w:color w:val="000000"/>
                <w:sz w:val="15"/>
              </w:rPr>
              <w:t>Ольга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ШЕВЧЕНКО</w:t>
            </w:r>
          </w:p>
        </w:tc>
        <w:bookmarkEnd w:id="21"/>
      </w:tr>
      <w:tr w:rsidR="00F54F4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F54F42" w:rsidRDefault="008A147E">
            <w:pPr>
              <w:spacing w:after="0"/>
              <w:jc w:val="center"/>
            </w:pPr>
            <w:bookmarkStart w:id="22" w:name="23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охорони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здоров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F54F42" w:rsidRDefault="008A147E">
            <w:pPr>
              <w:spacing w:after="0"/>
              <w:jc w:val="center"/>
            </w:pPr>
            <w:bookmarkStart w:id="23" w:name="24"/>
            <w:bookmarkEnd w:id="22"/>
            <w:r>
              <w:rPr>
                <w:rFonts w:ascii="Arial"/>
                <w:b/>
                <w:color w:val="000000"/>
                <w:sz w:val="15"/>
              </w:rPr>
              <w:t>Віктор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ЛЯШКО</w:t>
            </w:r>
          </w:p>
        </w:tc>
        <w:bookmarkEnd w:id="23"/>
      </w:tr>
      <w:tr w:rsidR="00F54F4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F54F42" w:rsidRDefault="008A147E">
            <w:pPr>
              <w:spacing w:after="0"/>
              <w:jc w:val="center"/>
            </w:pPr>
            <w:bookmarkStart w:id="24" w:name="25"/>
            <w:r>
              <w:rPr>
                <w:rFonts w:ascii="Arial"/>
                <w:b/>
                <w:color w:val="000000"/>
                <w:sz w:val="15"/>
              </w:rPr>
              <w:t>Перший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заступник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Міністра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цифрової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трансформації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F54F42" w:rsidRDefault="008A147E">
            <w:pPr>
              <w:spacing w:after="0"/>
              <w:jc w:val="center"/>
            </w:pPr>
            <w:bookmarkStart w:id="25" w:name="26"/>
            <w:bookmarkEnd w:id="24"/>
            <w:r>
              <w:rPr>
                <w:rFonts w:ascii="Arial"/>
                <w:b/>
                <w:color w:val="000000"/>
                <w:sz w:val="15"/>
              </w:rPr>
              <w:lastRenderedPageBreak/>
              <w:t>Олексій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ВИСКУБ</w:t>
            </w:r>
          </w:p>
        </w:tc>
        <w:bookmarkEnd w:id="25"/>
      </w:tr>
    </w:tbl>
    <w:p w:rsidR="00F54F42" w:rsidRDefault="008A147E">
      <w:r>
        <w:lastRenderedPageBreak/>
        <w:br/>
      </w:r>
    </w:p>
    <w:p w:rsidR="00F54F42" w:rsidRDefault="008A147E">
      <w:pPr>
        <w:spacing w:after="0"/>
        <w:ind w:firstLine="240"/>
      </w:pPr>
      <w:bookmarkStart w:id="26" w:name="27"/>
      <w:r>
        <w:rPr>
          <w:rFonts w:ascii="Arial"/>
          <w:color w:val="000000"/>
          <w:sz w:val="18"/>
        </w:rPr>
        <w:t xml:space="preserve"> </w:t>
      </w:r>
    </w:p>
    <w:p w:rsidR="00F54F42" w:rsidRDefault="008A147E">
      <w:pPr>
        <w:spacing w:after="0"/>
        <w:ind w:firstLine="240"/>
        <w:jc w:val="right"/>
      </w:pPr>
      <w:bookmarkStart w:id="27" w:name="28"/>
      <w:bookmarkEnd w:id="26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02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1743</w:t>
      </w:r>
    </w:p>
    <w:p w:rsidR="00F54F42" w:rsidRDefault="008A147E">
      <w:pPr>
        <w:pStyle w:val="3"/>
        <w:spacing w:after="0"/>
        <w:jc w:val="center"/>
      </w:pPr>
      <w:bookmarkStart w:id="28" w:name="29"/>
      <w:bookmarkEnd w:id="27"/>
      <w:r>
        <w:rPr>
          <w:rFonts w:ascii="Arial"/>
          <w:color w:val="000000"/>
          <w:sz w:val="27"/>
        </w:rPr>
        <w:t>Вимоги</w:t>
      </w:r>
      <w:r>
        <w:br/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письмової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контакту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підтверджують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зазначені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декларації</w:t>
      </w:r>
    </w:p>
    <w:p w:rsidR="00F54F42" w:rsidRDefault="008A147E">
      <w:pPr>
        <w:pStyle w:val="3"/>
        <w:spacing w:after="0"/>
        <w:jc w:val="center"/>
      </w:pPr>
      <w:bookmarkStart w:id="29" w:name="30"/>
      <w:bookmarkEnd w:id="28"/>
      <w:r>
        <w:rPr>
          <w:rFonts w:ascii="Arial"/>
          <w:color w:val="000000"/>
          <w:sz w:val="27"/>
        </w:rPr>
        <w:t xml:space="preserve">I.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F54F42" w:rsidRDefault="008A147E">
      <w:pPr>
        <w:spacing w:after="0"/>
        <w:ind w:firstLine="240"/>
      </w:pPr>
      <w:bookmarkStart w:id="30" w:name="31"/>
      <w:bookmarkEnd w:id="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>):</w:t>
      </w:r>
    </w:p>
    <w:p w:rsidR="00F54F42" w:rsidRDefault="008A147E">
      <w:pPr>
        <w:spacing w:after="0"/>
        <w:ind w:firstLine="240"/>
      </w:pPr>
      <w:bookmarkStart w:id="31" w:name="32"/>
      <w:bookmarkEnd w:id="30"/>
      <w:r>
        <w:rPr>
          <w:rFonts w:ascii="Arial"/>
          <w:color w:val="000000"/>
          <w:sz w:val="18"/>
        </w:rPr>
        <w:t>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>;</w:t>
      </w:r>
    </w:p>
    <w:p w:rsidR="00F54F42" w:rsidRDefault="008A147E">
      <w:pPr>
        <w:spacing w:after="0"/>
        <w:ind w:firstLine="240"/>
      </w:pPr>
      <w:bookmarkStart w:id="32" w:name="33"/>
      <w:bookmarkEnd w:id="31"/>
      <w:r>
        <w:rPr>
          <w:rFonts w:ascii="Arial"/>
          <w:color w:val="000000"/>
          <w:sz w:val="18"/>
        </w:rPr>
        <w:t>інтелектуальні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>;</w:t>
      </w:r>
    </w:p>
    <w:p w:rsidR="00F54F42" w:rsidRDefault="008A147E">
      <w:pPr>
        <w:spacing w:after="0"/>
        <w:ind w:firstLine="240"/>
      </w:pPr>
      <w:bookmarkStart w:id="33" w:name="34"/>
      <w:bookmarkEnd w:id="32"/>
      <w:r>
        <w:rPr>
          <w:rFonts w:ascii="Arial"/>
          <w:color w:val="000000"/>
          <w:sz w:val="18"/>
        </w:rPr>
        <w:t>клеї</w:t>
      </w:r>
      <w:r>
        <w:rPr>
          <w:rFonts w:ascii="Arial"/>
          <w:color w:val="000000"/>
          <w:sz w:val="18"/>
        </w:rPr>
        <w:t>;</w:t>
      </w:r>
    </w:p>
    <w:p w:rsidR="00F54F42" w:rsidRDefault="008A147E">
      <w:pPr>
        <w:spacing w:after="0"/>
        <w:ind w:firstLine="240"/>
      </w:pPr>
      <w:bookmarkStart w:id="34" w:name="35"/>
      <w:bookmarkEnd w:id="33"/>
      <w:r>
        <w:rPr>
          <w:rFonts w:ascii="Arial"/>
          <w:color w:val="000000"/>
          <w:sz w:val="18"/>
        </w:rPr>
        <w:t>кераміка</w:t>
      </w:r>
      <w:r>
        <w:rPr>
          <w:rFonts w:ascii="Arial"/>
          <w:color w:val="000000"/>
          <w:sz w:val="18"/>
        </w:rPr>
        <w:t>;</w:t>
      </w:r>
    </w:p>
    <w:p w:rsidR="00F54F42" w:rsidRDefault="008A147E">
      <w:pPr>
        <w:spacing w:after="0"/>
        <w:ind w:firstLine="240"/>
      </w:pPr>
      <w:bookmarkStart w:id="35" w:name="36"/>
      <w:bookmarkEnd w:id="34"/>
      <w:r>
        <w:rPr>
          <w:rFonts w:ascii="Arial"/>
          <w:color w:val="000000"/>
          <w:sz w:val="18"/>
        </w:rPr>
        <w:t>корок</w:t>
      </w:r>
      <w:r>
        <w:rPr>
          <w:rFonts w:ascii="Arial"/>
          <w:color w:val="000000"/>
          <w:sz w:val="18"/>
        </w:rPr>
        <w:t>;</w:t>
      </w:r>
    </w:p>
    <w:p w:rsidR="00F54F42" w:rsidRDefault="008A147E">
      <w:pPr>
        <w:spacing w:after="0"/>
        <w:ind w:firstLine="240"/>
      </w:pPr>
      <w:bookmarkStart w:id="36" w:name="37"/>
      <w:bookmarkEnd w:id="35"/>
      <w:r>
        <w:rPr>
          <w:rFonts w:ascii="Arial"/>
          <w:color w:val="000000"/>
          <w:sz w:val="18"/>
        </w:rPr>
        <w:t>гума</w:t>
      </w:r>
      <w:r>
        <w:rPr>
          <w:rFonts w:ascii="Arial"/>
          <w:color w:val="000000"/>
          <w:sz w:val="18"/>
        </w:rPr>
        <w:t>;</w:t>
      </w:r>
    </w:p>
    <w:p w:rsidR="00F54F42" w:rsidRDefault="008A147E">
      <w:pPr>
        <w:spacing w:after="0"/>
        <w:ind w:firstLine="240"/>
      </w:pPr>
      <w:bookmarkStart w:id="37" w:name="38"/>
      <w:bookmarkEnd w:id="36"/>
      <w:r>
        <w:rPr>
          <w:rFonts w:ascii="Arial"/>
          <w:color w:val="000000"/>
          <w:sz w:val="18"/>
        </w:rPr>
        <w:t>скло</w:t>
      </w:r>
      <w:r>
        <w:rPr>
          <w:rFonts w:ascii="Arial"/>
          <w:color w:val="000000"/>
          <w:sz w:val="18"/>
        </w:rPr>
        <w:t>;</w:t>
      </w:r>
    </w:p>
    <w:p w:rsidR="00F54F42" w:rsidRDefault="008A147E">
      <w:pPr>
        <w:spacing w:after="0"/>
        <w:ind w:firstLine="240"/>
      </w:pPr>
      <w:bookmarkStart w:id="38" w:name="39"/>
      <w:bookmarkEnd w:id="37"/>
      <w:r>
        <w:rPr>
          <w:rFonts w:ascii="Arial"/>
          <w:color w:val="000000"/>
          <w:sz w:val="18"/>
        </w:rPr>
        <w:t>іонообмінні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смоли</w:t>
      </w:r>
      <w:r>
        <w:rPr>
          <w:rFonts w:ascii="Arial"/>
          <w:color w:val="000000"/>
          <w:sz w:val="18"/>
        </w:rPr>
        <w:t>;</w:t>
      </w:r>
    </w:p>
    <w:p w:rsidR="00F54F42" w:rsidRDefault="008A147E">
      <w:pPr>
        <w:spacing w:after="0"/>
        <w:ind w:firstLine="240"/>
      </w:pPr>
      <w:bookmarkStart w:id="39" w:name="40"/>
      <w:bookmarkEnd w:id="38"/>
      <w:r>
        <w:rPr>
          <w:rFonts w:ascii="Arial"/>
          <w:color w:val="000000"/>
          <w:sz w:val="18"/>
        </w:rPr>
        <w:t>метали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сплави</w:t>
      </w:r>
      <w:r>
        <w:rPr>
          <w:rFonts w:ascii="Arial"/>
          <w:color w:val="000000"/>
          <w:sz w:val="18"/>
        </w:rPr>
        <w:t>;</w:t>
      </w:r>
    </w:p>
    <w:p w:rsidR="00F54F42" w:rsidRDefault="008A147E">
      <w:pPr>
        <w:spacing w:after="0"/>
        <w:ind w:firstLine="240"/>
      </w:pPr>
      <w:bookmarkStart w:id="40" w:name="41"/>
      <w:bookmarkEnd w:id="39"/>
      <w:r>
        <w:rPr>
          <w:rFonts w:ascii="Arial"/>
          <w:color w:val="000000"/>
          <w:sz w:val="18"/>
        </w:rPr>
        <w:t>папір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картон</w:t>
      </w:r>
      <w:r>
        <w:rPr>
          <w:rFonts w:ascii="Arial"/>
          <w:color w:val="000000"/>
          <w:sz w:val="18"/>
        </w:rPr>
        <w:t>;</w:t>
      </w:r>
    </w:p>
    <w:p w:rsidR="00F54F42" w:rsidRDefault="008A147E">
      <w:pPr>
        <w:spacing w:after="0"/>
        <w:ind w:firstLine="240"/>
      </w:pPr>
      <w:bookmarkStart w:id="41" w:name="42"/>
      <w:bookmarkEnd w:id="40"/>
      <w:r>
        <w:rPr>
          <w:rFonts w:ascii="Arial"/>
          <w:color w:val="000000"/>
          <w:sz w:val="18"/>
        </w:rPr>
        <w:t>пластик</w:t>
      </w:r>
      <w:r>
        <w:rPr>
          <w:rFonts w:ascii="Arial"/>
          <w:color w:val="000000"/>
          <w:sz w:val="18"/>
        </w:rPr>
        <w:t>;</w:t>
      </w:r>
    </w:p>
    <w:p w:rsidR="00F54F42" w:rsidRDefault="008A147E">
      <w:pPr>
        <w:spacing w:after="0"/>
        <w:ind w:firstLine="240"/>
      </w:pPr>
      <w:bookmarkStart w:id="42" w:name="43"/>
      <w:bookmarkEnd w:id="41"/>
      <w:r>
        <w:rPr>
          <w:rFonts w:ascii="Arial"/>
          <w:color w:val="000000"/>
          <w:sz w:val="18"/>
        </w:rPr>
        <w:t>друкарські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фарби</w:t>
      </w:r>
      <w:r>
        <w:rPr>
          <w:rFonts w:ascii="Arial"/>
          <w:color w:val="000000"/>
          <w:sz w:val="18"/>
        </w:rPr>
        <w:t>;</w:t>
      </w:r>
    </w:p>
    <w:p w:rsidR="00F54F42" w:rsidRDefault="008A147E">
      <w:pPr>
        <w:spacing w:after="0"/>
        <w:ind w:firstLine="240"/>
      </w:pPr>
      <w:bookmarkStart w:id="43" w:name="44"/>
      <w:bookmarkEnd w:id="42"/>
      <w:r>
        <w:rPr>
          <w:rFonts w:ascii="Arial"/>
          <w:color w:val="000000"/>
          <w:sz w:val="18"/>
        </w:rPr>
        <w:t>регенер</w:t>
      </w:r>
      <w:r>
        <w:rPr>
          <w:rFonts w:ascii="Arial"/>
          <w:color w:val="000000"/>
          <w:sz w:val="18"/>
        </w:rPr>
        <w:t>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целюлоза</w:t>
      </w:r>
      <w:r>
        <w:rPr>
          <w:rFonts w:ascii="Arial"/>
          <w:color w:val="000000"/>
          <w:sz w:val="18"/>
        </w:rPr>
        <w:t>;</w:t>
      </w:r>
    </w:p>
    <w:p w:rsidR="00F54F42" w:rsidRDefault="008A147E">
      <w:pPr>
        <w:spacing w:after="0"/>
        <w:ind w:firstLine="240"/>
      </w:pPr>
      <w:bookmarkStart w:id="44" w:name="45"/>
      <w:bookmarkEnd w:id="43"/>
      <w:r>
        <w:rPr>
          <w:rFonts w:ascii="Arial"/>
          <w:color w:val="000000"/>
          <w:sz w:val="18"/>
        </w:rPr>
        <w:t>силікон</w:t>
      </w:r>
      <w:r>
        <w:rPr>
          <w:rFonts w:ascii="Arial"/>
          <w:color w:val="000000"/>
          <w:sz w:val="18"/>
        </w:rPr>
        <w:t>;</w:t>
      </w:r>
    </w:p>
    <w:p w:rsidR="00F54F42" w:rsidRDefault="008A147E">
      <w:pPr>
        <w:spacing w:after="0"/>
        <w:ind w:firstLine="240"/>
      </w:pPr>
      <w:bookmarkStart w:id="45" w:name="46"/>
      <w:bookmarkEnd w:id="44"/>
      <w:r>
        <w:rPr>
          <w:rFonts w:ascii="Arial"/>
          <w:color w:val="000000"/>
          <w:sz w:val="18"/>
        </w:rPr>
        <w:t>текстиль</w:t>
      </w:r>
      <w:r>
        <w:rPr>
          <w:rFonts w:ascii="Arial"/>
          <w:color w:val="000000"/>
          <w:sz w:val="18"/>
        </w:rPr>
        <w:t>;</w:t>
      </w:r>
    </w:p>
    <w:p w:rsidR="00F54F42" w:rsidRDefault="008A147E">
      <w:pPr>
        <w:spacing w:after="0"/>
        <w:ind w:firstLine="240"/>
      </w:pPr>
      <w:bookmarkStart w:id="46" w:name="47"/>
      <w:bookmarkEnd w:id="45"/>
      <w:r>
        <w:rPr>
          <w:rFonts w:ascii="Arial"/>
          <w:color w:val="000000"/>
          <w:sz w:val="18"/>
        </w:rPr>
        <w:t>лаки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>;</w:t>
      </w:r>
    </w:p>
    <w:p w:rsidR="00F54F42" w:rsidRDefault="008A147E">
      <w:pPr>
        <w:spacing w:after="0"/>
        <w:ind w:firstLine="240"/>
      </w:pPr>
      <w:bookmarkStart w:id="47" w:name="48"/>
      <w:bookmarkEnd w:id="46"/>
      <w:r>
        <w:rPr>
          <w:rFonts w:ascii="Arial"/>
          <w:color w:val="000000"/>
          <w:sz w:val="18"/>
        </w:rPr>
        <w:t>віск</w:t>
      </w:r>
      <w:r>
        <w:rPr>
          <w:rFonts w:ascii="Arial"/>
          <w:color w:val="000000"/>
          <w:sz w:val="18"/>
        </w:rPr>
        <w:t>;</w:t>
      </w:r>
    </w:p>
    <w:p w:rsidR="00F54F42" w:rsidRDefault="008A147E">
      <w:pPr>
        <w:spacing w:after="0"/>
        <w:ind w:firstLine="240"/>
      </w:pPr>
      <w:bookmarkStart w:id="48" w:name="49"/>
      <w:bookmarkEnd w:id="47"/>
      <w:r>
        <w:rPr>
          <w:rFonts w:ascii="Arial"/>
          <w:color w:val="000000"/>
          <w:sz w:val="18"/>
        </w:rPr>
        <w:t>деревина</w:t>
      </w:r>
      <w:r>
        <w:rPr>
          <w:rFonts w:ascii="Arial"/>
          <w:color w:val="000000"/>
          <w:sz w:val="18"/>
        </w:rPr>
        <w:t>.</w:t>
      </w:r>
    </w:p>
    <w:p w:rsidR="00F54F42" w:rsidRDefault="008A147E">
      <w:pPr>
        <w:spacing w:after="0"/>
        <w:ind w:firstLine="240"/>
      </w:pPr>
      <w:bookmarkStart w:id="49" w:name="50"/>
      <w:bookmarkEnd w:id="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),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Вимогах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кераміки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2373,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71/39127,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регенерованої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целюлози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2374,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77/39133.</w:t>
      </w:r>
    </w:p>
    <w:p w:rsidR="00F54F42" w:rsidRDefault="008A147E">
      <w:pPr>
        <w:spacing w:after="0"/>
        <w:ind w:firstLine="240"/>
      </w:pPr>
      <w:bookmarkStart w:id="50" w:name="51"/>
      <w:bookmarkEnd w:id="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:</w:t>
      </w:r>
    </w:p>
    <w:p w:rsidR="00F54F42" w:rsidRDefault="008A147E">
      <w:pPr>
        <w:spacing w:after="0"/>
        <w:ind w:firstLine="240"/>
      </w:pPr>
      <w:bookmarkStart w:id="51" w:name="52"/>
      <w:bookmarkEnd w:id="50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>;</w:t>
      </w:r>
    </w:p>
    <w:p w:rsidR="00F54F42" w:rsidRDefault="008A147E">
      <w:pPr>
        <w:spacing w:after="0"/>
        <w:ind w:firstLine="240"/>
      </w:pPr>
      <w:bookmarkStart w:id="52" w:name="53"/>
      <w:bookmarkEnd w:id="51"/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кераміки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>;</w:t>
      </w:r>
    </w:p>
    <w:p w:rsidR="00F54F42" w:rsidRDefault="008A147E">
      <w:pPr>
        <w:spacing w:after="0"/>
        <w:ind w:firstLine="240"/>
      </w:pPr>
      <w:bookmarkStart w:id="53" w:name="54"/>
      <w:bookmarkEnd w:id="52"/>
      <w:r>
        <w:rPr>
          <w:rFonts w:ascii="Arial"/>
          <w:color w:val="000000"/>
          <w:sz w:val="18"/>
        </w:rPr>
        <w:t>лаки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2,2-</w:t>
      </w:r>
      <w:r>
        <w:rPr>
          <w:rFonts w:ascii="Arial"/>
          <w:color w:val="000000"/>
          <w:sz w:val="18"/>
        </w:rPr>
        <w:t>біс</w:t>
      </w:r>
      <w:r>
        <w:rPr>
          <w:rFonts w:ascii="Arial"/>
          <w:color w:val="000000"/>
          <w:sz w:val="18"/>
        </w:rPr>
        <w:t>(4-</w:t>
      </w:r>
      <w:r>
        <w:rPr>
          <w:rFonts w:ascii="Arial"/>
          <w:color w:val="000000"/>
          <w:sz w:val="18"/>
        </w:rPr>
        <w:t>гідроксифеніл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>пропану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бісфенол</w:t>
      </w:r>
      <w:r>
        <w:rPr>
          <w:rFonts w:ascii="Arial"/>
          <w:color w:val="000000"/>
          <w:sz w:val="18"/>
        </w:rPr>
        <w:t xml:space="preserve"> A (BPA),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>.</w:t>
      </w:r>
    </w:p>
    <w:p w:rsidR="00F54F42" w:rsidRDefault="008A147E">
      <w:pPr>
        <w:spacing w:after="0"/>
        <w:ind w:firstLine="240"/>
      </w:pPr>
      <w:bookmarkStart w:id="54" w:name="55"/>
      <w:bookmarkEnd w:id="5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>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регенерованої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целюлози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>.</w:t>
      </w:r>
    </w:p>
    <w:p w:rsidR="00F54F42" w:rsidRDefault="008A147E">
      <w:pPr>
        <w:spacing w:after="0"/>
        <w:ind w:firstLine="240"/>
      </w:pPr>
      <w:bookmarkStart w:id="55" w:name="56"/>
      <w:bookmarkEnd w:id="5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>.</w:t>
      </w:r>
    </w:p>
    <w:p w:rsidR="00F54F42" w:rsidRDefault="008A147E">
      <w:pPr>
        <w:spacing w:after="0"/>
        <w:ind w:firstLine="240"/>
      </w:pPr>
      <w:bookmarkStart w:id="56" w:name="57"/>
      <w:bookmarkEnd w:id="5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</w:t>
      </w:r>
      <w:r>
        <w:rPr>
          <w:rFonts w:ascii="Arial"/>
          <w:color w:val="000000"/>
          <w:sz w:val="18"/>
        </w:rPr>
        <w:t>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F54F42" w:rsidRDefault="008A147E">
      <w:pPr>
        <w:spacing w:after="0"/>
        <w:ind w:firstLine="240"/>
      </w:pPr>
      <w:bookmarkStart w:id="57" w:name="58"/>
      <w:bookmarkEnd w:id="56"/>
      <w:r>
        <w:rPr>
          <w:rFonts w:ascii="Arial"/>
          <w:color w:val="000000"/>
          <w:sz w:val="18"/>
        </w:rPr>
        <w:t>суттєві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>;</w:t>
      </w:r>
    </w:p>
    <w:p w:rsidR="00F54F42" w:rsidRDefault="008A147E">
      <w:pPr>
        <w:spacing w:after="0"/>
        <w:ind w:firstLine="240"/>
      </w:pPr>
      <w:bookmarkStart w:id="58" w:name="59"/>
      <w:bookmarkEnd w:id="57"/>
      <w:r>
        <w:rPr>
          <w:rFonts w:ascii="Arial"/>
          <w:color w:val="000000"/>
          <w:sz w:val="18"/>
        </w:rPr>
        <w:t>надходить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.</w:t>
      </w:r>
    </w:p>
    <w:p w:rsidR="00F54F42" w:rsidRDefault="008A147E">
      <w:pPr>
        <w:pStyle w:val="3"/>
        <w:spacing w:after="0"/>
        <w:jc w:val="center"/>
      </w:pPr>
      <w:bookmarkStart w:id="59" w:name="60"/>
      <w:bookmarkEnd w:id="58"/>
      <w:r>
        <w:rPr>
          <w:rFonts w:ascii="Arial"/>
          <w:color w:val="000000"/>
          <w:sz w:val="27"/>
        </w:rPr>
        <w:t xml:space="preserve">II.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відповідність</w:t>
      </w:r>
    </w:p>
    <w:p w:rsidR="00F54F42" w:rsidRDefault="008A147E">
      <w:pPr>
        <w:spacing w:after="0"/>
        <w:ind w:firstLine="240"/>
      </w:pPr>
      <w:bookmarkStart w:id="60" w:name="61"/>
      <w:bookmarkEnd w:id="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F54F42" w:rsidRDefault="008A147E">
      <w:pPr>
        <w:spacing w:after="0"/>
        <w:ind w:firstLine="240"/>
      </w:pPr>
      <w:bookmarkStart w:id="61" w:name="62"/>
      <w:bookmarkEnd w:id="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>:</w:t>
      </w:r>
    </w:p>
    <w:p w:rsidR="00F54F42" w:rsidRDefault="008A147E">
      <w:pPr>
        <w:spacing w:after="0"/>
        <w:ind w:firstLine="240"/>
      </w:pPr>
      <w:bookmarkStart w:id="62" w:name="63"/>
      <w:bookmarkEnd w:id="61"/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>;</w:t>
      </w:r>
    </w:p>
    <w:p w:rsidR="00F54F42" w:rsidRDefault="008A147E">
      <w:pPr>
        <w:spacing w:after="0"/>
        <w:ind w:firstLine="240"/>
      </w:pPr>
      <w:bookmarkStart w:id="63" w:name="64"/>
      <w:bookmarkEnd w:id="62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>.</w:t>
      </w:r>
    </w:p>
    <w:p w:rsidR="00F54F42" w:rsidRDefault="008A147E">
      <w:pPr>
        <w:spacing w:after="0"/>
        <w:ind w:firstLine="240"/>
      </w:pPr>
      <w:bookmarkStart w:id="64" w:name="65"/>
      <w:bookmarkEnd w:id="63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F54F42" w:rsidRDefault="008A147E">
      <w:pPr>
        <w:spacing w:after="0"/>
        <w:ind w:firstLine="240"/>
      </w:pPr>
      <w:bookmarkStart w:id="65" w:name="66"/>
      <w:bookmarkEnd w:id="6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;</w:t>
      </w:r>
    </w:p>
    <w:p w:rsidR="00F54F42" w:rsidRDefault="008A147E">
      <w:pPr>
        <w:spacing w:after="0"/>
        <w:ind w:firstLine="240"/>
      </w:pPr>
      <w:bookmarkStart w:id="66" w:name="67"/>
      <w:bookmarkEnd w:id="6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;</w:t>
      </w:r>
    </w:p>
    <w:p w:rsidR="00F54F42" w:rsidRDefault="008A147E">
      <w:pPr>
        <w:spacing w:after="0"/>
        <w:ind w:firstLine="240"/>
      </w:pPr>
      <w:bookmarkStart w:id="67" w:name="68"/>
      <w:bookmarkEnd w:id="66"/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>).</w:t>
      </w:r>
    </w:p>
    <w:p w:rsidR="00F54F42" w:rsidRDefault="008A147E">
      <w:pPr>
        <w:spacing w:after="0"/>
        <w:ind w:firstLine="240"/>
      </w:pPr>
      <w:bookmarkStart w:id="68" w:name="69"/>
      <w:bookmarkEnd w:id="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>;</w:t>
      </w:r>
    </w:p>
    <w:p w:rsidR="00F54F42" w:rsidRDefault="008A147E">
      <w:pPr>
        <w:spacing w:after="0"/>
        <w:ind w:firstLine="240"/>
      </w:pPr>
      <w:bookmarkStart w:id="69" w:name="70"/>
      <w:bookmarkEnd w:id="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>;</w:t>
      </w:r>
    </w:p>
    <w:p w:rsidR="00F54F42" w:rsidRDefault="008A147E">
      <w:pPr>
        <w:spacing w:after="0"/>
        <w:ind w:firstLine="240"/>
      </w:pPr>
      <w:bookmarkStart w:id="70" w:name="71"/>
      <w:bookmarkEnd w:id="6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(GMP),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>;</w:t>
      </w:r>
    </w:p>
    <w:p w:rsidR="00F54F42" w:rsidRDefault="008A147E">
      <w:pPr>
        <w:spacing w:after="0"/>
        <w:ind w:firstLine="240"/>
      </w:pPr>
      <w:bookmarkStart w:id="71" w:name="72"/>
      <w:bookmarkEnd w:id="7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специфікацію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F54F42" w:rsidRDefault="008A147E">
      <w:pPr>
        <w:spacing w:after="0"/>
        <w:ind w:firstLine="240"/>
      </w:pPr>
      <w:bookmarkStart w:id="72" w:name="73"/>
      <w:bookmarkEnd w:id="71"/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>;</w:t>
      </w:r>
    </w:p>
    <w:p w:rsidR="00F54F42" w:rsidRDefault="008A147E">
      <w:pPr>
        <w:spacing w:after="0"/>
        <w:ind w:firstLine="240"/>
      </w:pPr>
      <w:bookmarkStart w:id="73" w:name="74"/>
      <w:bookmarkEnd w:id="72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</w:t>
      </w:r>
      <w:r>
        <w:rPr>
          <w:rFonts w:ascii="Arial"/>
          <w:color w:val="000000"/>
          <w:sz w:val="18"/>
        </w:rPr>
        <w:t>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>;</w:t>
      </w:r>
    </w:p>
    <w:p w:rsidR="00F54F42" w:rsidRDefault="008A147E">
      <w:pPr>
        <w:spacing w:after="0"/>
        <w:ind w:firstLine="240"/>
      </w:pPr>
      <w:bookmarkStart w:id="74" w:name="75"/>
      <w:bookmarkEnd w:id="73"/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;</w:t>
      </w:r>
    </w:p>
    <w:p w:rsidR="00F54F42" w:rsidRDefault="008A147E">
      <w:pPr>
        <w:spacing w:after="0"/>
        <w:ind w:firstLine="240"/>
      </w:pPr>
      <w:bookmarkStart w:id="75" w:name="76"/>
      <w:bookmarkEnd w:id="7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>.</w:t>
      </w:r>
    </w:p>
    <w:p w:rsidR="00F54F42" w:rsidRDefault="008A147E">
      <w:pPr>
        <w:spacing w:after="0"/>
        <w:ind w:firstLine="240"/>
      </w:pPr>
      <w:bookmarkStart w:id="76" w:name="77"/>
      <w:bookmarkEnd w:id="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F54F42" w:rsidRDefault="008A147E">
      <w:pPr>
        <w:spacing w:after="0"/>
        <w:ind w:firstLine="240"/>
      </w:pPr>
      <w:bookmarkStart w:id="77" w:name="78"/>
      <w:bookmarkEnd w:id="7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F54F42" w:rsidRDefault="008A147E">
      <w:pPr>
        <w:spacing w:after="0"/>
        <w:ind w:firstLine="240"/>
      </w:pPr>
      <w:bookmarkStart w:id="78" w:name="79"/>
      <w:bookmarkEnd w:id="7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</w:t>
      </w:r>
      <w:r>
        <w:rPr>
          <w:rFonts w:ascii="Arial"/>
          <w:color w:val="000000"/>
          <w:sz w:val="18"/>
        </w:rPr>
        <w:t>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компонентом</w:t>
      </w:r>
      <w:r>
        <w:rPr>
          <w:rFonts w:ascii="Arial"/>
          <w:color w:val="000000"/>
          <w:sz w:val="18"/>
        </w:rPr>
        <w:t>;</w:t>
      </w:r>
    </w:p>
    <w:p w:rsidR="00F54F42" w:rsidRDefault="008A147E">
      <w:pPr>
        <w:spacing w:after="0"/>
        <w:ind w:firstLine="240"/>
      </w:pPr>
      <w:bookmarkStart w:id="79" w:name="80"/>
      <w:bookmarkEnd w:id="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>;</w:t>
      </w:r>
    </w:p>
    <w:p w:rsidR="00F54F42" w:rsidRDefault="008A147E">
      <w:pPr>
        <w:spacing w:after="0"/>
        <w:ind w:firstLine="240"/>
      </w:pPr>
      <w:bookmarkStart w:id="80" w:name="81"/>
      <w:bookmarkEnd w:id="7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специфікацію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F54F42" w:rsidRDefault="008A147E">
      <w:pPr>
        <w:spacing w:after="0"/>
        <w:ind w:firstLine="240"/>
      </w:pPr>
      <w:bookmarkStart w:id="81" w:name="82"/>
      <w:bookmarkEnd w:id="80"/>
      <w:r>
        <w:rPr>
          <w:rFonts w:ascii="Arial"/>
          <w:color w:val="000000"/>
          <w:sz w:val="18"/>
        </w:rPr>
        <w:lastRenderedPageBreak/>
        <w:t>групу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включений</w:t>
      </w:r>
      <w:r>
        <w:rPr>
          <w:rFonts w:ascii="Arial"/>
          <w:color w:val="000000"/>
          <w:sz w:val="18"/>
        </w:rPr>
        <w:t>;</w:t>
      </w:r>
    </w:p>
    <w:p w:rsidR="00F54F42" w:rsidRDefault="008A147E">
      <w:pPr>
        <w:spacing w:after="0"/>
        <w:ind w:firstLine="240"/>
      </w:pPr>
      <w:bookmarkStart w:id="82" w:name="83"/>
      <w:bookmarkEnd w:id="81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ефекту</w:t>
      </w:r>
      <w:r>
        <w:rPr>
          <w:rFonts w:ascii="Arial"/>
          <w:color w:val="000000"/>
          <w:sz w:val="18"/>
        </w:rPr>
        <w:t>;</w:t>
      </w:r>
    </w:p>
    <w:p w:rsidR="00F54F42" w:rsidRDefault="008A147E">
      <w:pPr>
        <w:spacing w:after="0"/>
        <w:ind w:firstLine="240"/>
      </w:pPr>
      <w:bookmarkStart w:id="83" w:name="84"/>
      <w:bookmarkEnd w:id="8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F54F42" w:rsidRDefault="008A147E">
      <w:pPr>
        <w:spacing w:after="0"/>
        <w:ind w:firstLine="240"/>
      </w:pPr>
      <w:bookmarkStart w:id="84" w:name="85"/>
      <w:bookmarkEnd w:id="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F54F42" w:rsidRDefault="008A147E">
      <w:pPr>
        <w:spacing w:after="0"/>
        <w:ind w:firstLine="240"/>
      </w:pPr>
      <w:bookmarkStart w:id="85" w:name="86"/>
      <w:bookmarkEnd w:id="8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>;</w:t>
      </w:r>
    </w:p>
    <w:p w:rsidR="00F54F42" w:rsidRDefault="008A147E">
      <w:pPr>
        <w:spacing w:after="0"/>
        <w:ind w:firstLine="240"/>
      </w:pPr>
      <w:bookmarkStart w:id="86" w:name="87"/>
      <w:bookmarkEnd w:id="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теоретичних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.</w:t>
      </w:r>
    </w:p>
    <w:p w:rsidR="00F54F42" w:rsidRDefault="008A147E">
      <w:pPr>
        <w:spacing w:after="0"/>
        <w:ind w:firstLine="240"/>
      </w:pPr>
      <w:bookmarkStart w:id="87" w:name="88"/>
      <w:bookmarkEnd w:id="8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>;</w:t>
      </w:r>
    </w:p>
    <w:p w:rsidR="00F54F42" w:rsidRDefault="008A147E">
      <w:pPr>
        <w:spacing w:after="0"/>
        <w:ind w:firstLine="240"/>
      </w:pPr>
      <w:bookmarkStart w:id="88" w:name="89"/>
      <w:bookmarkEnd w:id="8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</w:t>
      </w:r>
      <w:r>
        <w:rPr>
          <w:rFonts w:ascii="Arial"/>
          <w:color w:val="000000"/>
          <w:sz w:val="18"/>
        </w:rPr>
        <w:t>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багатошарових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F54F42" w:rsidRDefault="008A147E">
      <w:pPr>
        <w:pStyle w:val="3"/>
        <w:spacing w:after="0"/>
        <w:jc w:val="center"/>
      </w:pPr>
      <w:bookmarkStart w:id="89" w:name="90"/>
      <w:bookmarkEnd w:id="88"/>
      <w:r>
        <w:rPr>
          <w:rFonts w:ascii="Arial"/>
          <w:color w:val="000000"/>
          <w:sz w:val="27"/>
        </w:rPr>
        <w:t xml:space="preserve">III.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підтверджують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зазначені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відповідність</w:t>
      </w:r>
    </w:p>
    <w:p w:rsidR="00F54F42" w:rsidRDefault="008A147E">
      <w:pPr>
        <w:spacing w:after="0"/>
        <w:ind w:firstLine="240"/>
      </w:pPr>
      <w:bookmarkStart w:id="90" w:name="91"/>
      <w:bookmarkEnd w:id="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>.</w:t>
      </w:r>
    </w:p>
    <w:p w:rsidR="00F54F42" w:rsidRDefault="008A147E">
      <w:pPr>
        <w:spacing w:after="0"/>
        <w:ind w:firstLine="240"/>
      </w:pPr>
      <w:bookmarkStart w:id="91" w:name="92"/>
      <w:bookmarkEnd w:id="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пластикових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кераміки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F54F42" w:rsidRPr="008A147E" w:rsidRDefault="008A147E">
      <w:pPr>
        <w:spacing w:after="0"/>
        <w:ind w:firstLine="240"/>
        <w:rPr>
          <w:lang w:val="ru-RU"/>
        </w:rPr>
      </w:pPr>
      <w:bookmarkStart w:id="92" w:name="93"/>
      <w:bookmarkEnd w:id="91"/>
      <w:r w:rsidRPr="008A147E">
        <w:rPr>
          <w:rFonts w:ascii="Arial"/>
          <w:color w:val="000000"/>
          <w:sz w:val="18"/>
          <w:lang w:val="ru-RU"/>
        </w:rPr>
        <w:t xml:space="preserve">1) </w:t>
      </w:r>
      <w:r w:rsidRPr="008A147E">
        <w:rPr>
          <w:rFonts w:ascii="Arial"/>
          <w:color w:val="000000"/>
          <w:sz w:val="18"/>
          <w:lang w:val="ru-RU"/>
        </w:rPr>
        <w:t>правила</w:t>
      </w:r>
      <w:r w:rsidRPr="008A147E">
        <w:rPr>
          <w:rFonts w:ascii="Arial"/>
          <w:color w:val="000000"/>
          <w:sz w:val="18"/>
          <w:lang w:val="ru-RU"/>
        </w:rPr>
        <w:t xml:space="preserve"> </w:t>
      </w:r>
      <w:r w:rsidRPr="008A147E">
        <w:rPr>
          <w:rFonts w:ascii="Arial"/>
          <w:color w:val="000000"/>
          <w:sz w:val="18"/>
          <w:lang w:val="ru-RU"/>
        </w:rPr>
        <w:t>та</w:t>
      </w:r>
      <w:r w:rsidRPr="008A147E">
        <w:rPr>
          <w:rFonts w:ascii="Arial"/>
          <w:color w:val="000000"/>
          <w:sz w:val="18"/>
          <w:lang w:val="ru-RU"/>
        </w:rPr>
        <w:t xml:space="preserve"> </w:t>
      </w:r>
      <w:r w:rsidRPr="008A147E">
        <w:rPr>
          <w:rFonts w:ascii="Arial"/>
          <w:color w:val="000000"/>
          <w:sz w:val="18"/>
          <w:lang w:val="ru-RU"/>
        </w:rPr>
        <w:t>умови</w:t>
      </w:r>
      <w:r w:rsidRPr="008A147E">
        <w:rPr>
          <w:rFonts w:ascii="Arial"/>
          <w:color w:val="000000"/>
          <w:sz w:val="18"/>
          <w:lang w:val="ru-RU"/>
        </w:rPr>
        <w:t xml:space="preserve"> </w:t>
      </w:r>
      <w:r w:rsidRPr="008A147E">
        <w:rPr>
          <w:rFonts w:ascii="Arial"/>
          <w:color w:val="000000"/>
          <w:sz w:val="18"/>
          <w:lang w:val="ru-RU"/>
        </w:rPr>
        <w:t>проведення</w:t>
      </w:r>
      <w:r w:rsidRPr="008A147E">
        <w:rPr>
          <w:rFonts w:ascii="Arial"/>
          <w:color w:val="000000"/>
          <w:sz w:val="18"/>
          <w:lang w:val="ru-RU"/>
        </w:rPr>
        <w:t xml:space="preserve"> </w:t>
      </w:r>
      <w:r w:rsidRPr="008A147E">
        <w:rPr>
          <w:rFonts w:ascii="Arial"/>
          <w:color w:val="000000"/>
          <w:sz w:val="18"/>
          <w:lang w:val="ru-RU"/>
        </w:rPr>
        <w:t>лабораторних</w:t>
      </w:r>
      <w:r w:rsidRPr="008A147E">
        <w:rPr>
          <w:rFonts w:ascii="Arial"/>
          <w:color w:val="000000"/>
          <w:sz w:val="18"/>
          <w:lang w:val="ru-RU"/>
        </w:rPr>
        <w:t xml:space="preserve"> </w:t>
      </w:r>
      <w:r w:rsidRPr="008A147E">
        <w:rPr>
          <w:rFonts w:ascii="Arial"/>
          <w:color w:val="000000"/>
          <w:sz w:val="18"/>
          <w:lang w:val="ru-RU"/>
        </w:rPr>
        <w:t>досліджень</w:t>
      </w:r>
      <w:r w:rsidRPr="008A147E">
        <w:rPr>
          <w:rFonts w:ascii="Arial"/>
          <w:color w:val="000000"/>
          <w:sz w:val="18"/>
          <w:lang w:val="ru-RU"/>
        </w:rPr>
        <w:t xml:space="preserve"> (</w:t>
      </w:r>
      <w:r w:rsidRPr="008A147E">
        <w:rPr>
          <w:rFonts w:ascii="Arial"/>
          <w:color w:val="000000"/>
          <w:sz w:val="18"/>
          <w:lang w:val="ru-RU"/>
        </w:rPr>
        <w:t>випробувань</w:t>
      </w:r>
      <w:r w:rsidRPr="008A147E">
        <w:rPr>
          <w:rFonts w:ascii="Arial"/>
          <w:color w:val="000000"/>
          <w:sz w:val="18"/>
          <w:lang w:val="ru-RU"/>
        </w:rPr>
        <w:t xml:space="preserve">) </w:t>
      </w:r>
      <w:r w:rsidRPr="008A147E">
        <w:rPr>
          <w:rFonts w:ascii="Arial"/>
          <w:color w:val="000000"/>
          <w:sz w:val="18"/>
          <w:lang w:val="ru-RU"/>
        </w:rPr>
        <w:t>з</w:t>
      </w:r>
      <w:r w:rsidRPr="008A147E">
        <w:rPr>
          <w:rFonts w:ascii="Arial"/>
          <w:color w:val="000000"/>
          <w:sz w:val="18"/>
          <w:lang w:val="ru-RU"/>
        </w:rPr>
        <w:t xml:space="preserve"> </w:t>
      </w:r>
      <w:r w:rsidRPr="008A147E">
        <w:rPr>
          <w:rFonts w:ascii="Arial"/>
          <w:color w:val="000000"/>
          <w:sz w:val="18"/>
          <w:lang w:val="ru-RU"/>
        </w:rPr>
        <w:t>метою</w:t>
      </w:r>
      <w:r w:rsidRPr="008A147E">
        <w:rPr>
          <w:rFonts w:ascii="Arial"/>
          <w:color w:val="000000"/>
          <w:sz w:val="18"/>
          <w:lang w:val="ru-RU"/>
        </w:rPr>
        <w:t xml:space="preserve"> </w:t>
      </w:r>
      <w:r w:rsidRPr="008A147E">
        <w:rPr>
          <w:rFonts w:ascii="Arial"/>
          <w:color w:val="000000"/>
          <w:sz w:val="18"/>
          <w:lang w:val="ru-RU"/>
        </w:rPr>
        <w:t>перевірки</w:t>
      </w:r>
      <w:r w:rsidRPr="008A147E">
        <w:rPr>
          <w:rFonts w:ascii="Arial"/>
          <w:color w:val="000000"/>
          <w:sz w:val="18"/>
          <w:lang w:val="ru-RU"/>
        </w:rPr>
        <w:t xml:space="preserve"> </w:t>
      </w:r>
      <w:r w:rsidRPr="008A147E">
        <w:rPr>
          <w:rFonts w:ascii="Arial"/>
          <w:color w:val="000000"/>
          <w:sz w:val="18"/>
          <w:lang w:val="ru-RU"/>
        </w:rPr>
        <w:t>дотримання</w:t>
      </w:r>
      <w:r w:rsidRPr="008A147E">
        <w:rPr>
          <w:rFonts w:ascii="Arial"/>
          <w:color w:val="000000"/>
          <w:sz w:val="18"/>
          <w:lang w:val="ru-RU"/>
        </w:rPr>
        <w:t xml:space="preserve"> </w:t>
      </w:r>
      <w:r w:rsidRPr="008A147E">
        <w:rPr>
          <w:rFonts w:ascii="Arial"/>
          <w:color w:val="000000"/>
          <w:sz w:val="18"/>
          <w:lang w:val="ru-RU"/>
        </w:rPr>
        <w:t>встановлених</w:t>
      </w:r>
      <w:r w:rsidRPr="008A147E">
        <w:rPr>
          <w:rFonts w:ascii="Arial"/>
          <w:color w:val="000000"/>
          <w:sz w:val="18"/>
          <w:lang w:val="ru-RU"/>
        </w:rPr>
        <w:t xml:space="preserve"> </w:t>
      </w:r>
      <w:r w:rsidRPr="008A147E">
        <w:rPr>
          <w:rFonts w:ascii="Arial"/>
          <w:color w:val="000000"/>
          <w:sz w:val="18"/>
          <w:lang w:val="ru-RU"/>
        </w:rPr>
        <w:t>меж</w:t>
      </w:r>
      <w:r w:rsidRPr="008A147E">
        <w:rPr>
          <w:rFonts w:ascii="Arial"/>
          <w:color w:val="000000"/>
          <w:sz w:val="18"/>
          <w:lang w:val="ru-RU"/>
        </w:rPr>
        <w:t xml:space="preserve"> </w:t>
      </w:r>
      <w:r w:rsidRPr="008A147E">
        <w:rPr>
          <w:rFonts w:ascii="Arial"/>
          <w:color w:val="000000"/>
          <w:sz w:val="18"/>
          <w:lang w:val="ru-RU"/>
        </w:rPr>
        <w:t>міграції</w:t>
      </w:r>
      <w:r w:rsidRPr="008A147E">
        <w:rPr>
          <w:rFonts w:ascii="Arial"/>
          <w:color w:val="000000"/>
          <w:sz w:val="18"/>
          <w:lang w:val="ru-RU"/>
        </w:rPr>
        <w:t xml:space="preserve">, </w:t>
      </w:r>
      <w:r w:rsidRPr="008A147E">
        <w:rPr>
          <w:rFonts w:ascii="Arial"/>
          <w:color w:val="000000"/>
          <w:sz w:val="18"/>
          <w:lang w:val="ru-RU"/>
        </w:rPr>
        <w:t>а</w:t>
      </w:r>
      <w:r w:rsidRPr="008A147E">
        <w:rPr>
          <w:rFonts w:ascii="Arial"/>
          <w:color w:val="000000"/>
          <w:sz w:val="18"/>
          <w:lang w:val="ru-RU"/>
        </w:rPr>
        <w:t xml:space="preserve"> </w:t>
      </w:r>
      <w:r w:rsidRPr="008A147E">
        <w:rPr>
          <w:rFonts w:ascii="Arial"/>
          <w:color w:val="000000"/>
          <w:sz w:val="18"/>
          <w:lang w:val="ru-RU"/>
        </w:rPr>
        <w:t>також</w:t>
      </w:r>
      <w:r w:rsidRPr="008A147E">
        <w:rPr>
          <w:rFonts w:ascii="Arial"/>
          <w:color w:val="000000"/>
          <w:sz w:val="18"/>
          <w:lang w:val="ru-RU"/>
        </w:rPr>
        <w:t xml:space="preserve"> </w:t>
      </w:r>
      <w:r w:rsidRPr="008A147E">
        <w:rPr>
          <w:rFonts w:ascii="Arial"/>
          <w:color w:val="000000"/>
          <w:sz w:val="18"/>
          <w:lang w:val="ru-RU"/>
        </w:rPr>
        <w:t>їх</w:t>
      </w:r>
      <w:r w:rsidRPr="008A147E">
        <w:rPr>
          <w:rFonts w:ascii="Arial"/>
          <w:color w:val="000000"/>
          <w:sz w:val="18"/>
          <w:lang w:val="ru-RU"/>
        </w:rPr>
        <w:t xml:space="preserve"> </w:t>
      </w:r>
      <w:r w:rsidRPr="008A147E">
        <w:rPr>
          <w:rFonts w:ascii="Arial"/>
          <w:color w:val="000000"/>
          <w:sz w:val="18"/>
          <w:lang w:val="ru-RU"/>
        </w:rPr>
        <w:t>результати</w:t>
      </w:r>
      <w:r w:rsidRPr="008A147E">
        <w:rPr>
          <w:rFonts w:ascii="Arial"/>
          <w:color w:val="000000"/>
          <w:sz w:val="18"/>
          <w:lang w:val="ru-RU"/>
        </w:rPr>
        <w:t>;</w:t>
      </w:r>
    </w:p>
    <w:p w:rsidR="00F54F42" w:rsidRDefault="008A147E">
      <w:pPr>
        <w:spacing w:after="0"/>
        <w:ind w:firstLine="240"/>
      </w:pPr>
      <w:bookmarkStart w:id="93" w:name="94"/>
      <w:bookmarkEnd w:id="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);</w:t>
      </w:r>
    </w:p>
    <w:p w:rsidR="00F54F42" w:rsidRDefault="008A147E">
      <w:pPr>
        <w:spacing w:after="0"/>
        <w:ind w:firstLine="240"/>
      </w:pPr>
      <w:bookmarkStart w:id="94" w:name="95"/>
      <w:bookmarkEnd w:id="9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F54F42" w:rsidRDefault="008A147E">
      <w:pPr>
        <w:spacing w:after="0"/>
        <w:ind w:firstLine="240"/>
      </w:pPr>
      <w:bookmarkStart w:id="95" w:name="96"/>
      <w:bookmarkEnd w:id="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>.</w:t>
      </w:r>
    </w:p>
    <w:p w:rsidR="00F54F42" w:rsidRDefault="008A147E">
      <w:pPr>
        <w:spacing w:after="0"/>
        <w:ind w:firstLine="240"/>
      </w:pPr>
      <w:bookmarkStart w:id="96" w:name="97"/>
      <w:bookmarkEnd w:id="95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6"/>
        <w:gridCol w:w="4617"/>
      </w:tblGrid>
      <w:tr w:rsidR="00F54F4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F54F42" w:rsidRDefault="008A147E">
            <w:pPr>
              <w:spacing w:after="0"/>
              <w:jc w:val="center"/>
            </w:pPr>
            <w:bookmarkStart w:id="97" w:name="98"/>
            <w:bookmarkEnd w:id="96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державної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політики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сфері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санітарних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фітосанітарних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заходів</w:t>
            </w:r>
          </w:p>
        </w:tc>
        <w:tc>
          <w:tcPr>
            <w:tcW w:w="4845" w:type="dxa"/>
            <w:vAlign w:val="center"/>
          </w:tcPr>
          <w:p w:rsidR="00F54F42" w:rsidRDefault="008A147E">
            <w:pPr>
              <w:spacing w:after="0"/>
              <w:jc w:val="center"/>
            </w:pPr>
            <w:bookmarkStart w:id="98" w:name="99"/>
            <w:bookmarkEnd w:id="97"/>
            <w:r>
              <w:rPr>
                <w:rFonts w:ascii="Arial"/>
                <w:b/>
                <w:color w:val="000000"/>
                <w:sz w:val="15"/>
              </w:rPr>
              <w:t>Андрій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ПИВОВАРОВ</w:t>
            </w:r>
          </w:p>
        </w:tc>
        <w:bookmarkEnd w:id="98"/>
      </w:tr>
    </w:tbl>
    <w:p w:rsidR="00F54F42" w:rsidRDefault="008A147E">
      <w:r>
        <w:br/>
      </w:r>
    </w:p>
    <w:p w:rsidR="00F54F42" w:rsidRDefault="00F54F42">
      <w:pPr>
        <w:spacing w:after="0"/>
        <w:ind w:firstLine="240"/>
      </w:pPr>
      <w:bookmarkStart w:id="99" w:name="100"/>
    </w:p>
    <w:p w:rsidR="00F54F42" w:rsidRDefault="008A147E">
      <w:bookmarkStart w:id="100" w:name="_GoBack"/>
      <w:bookmarkEnd w:id="99"/>
      <w:bookmarkEnd w:id="100"/>
      <w:r>
        <w:br/>
      </w:r>
    </w:p>
    <w:sectPr w:rsidR="00F54F42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4F42"/>
    <w:rsid w:val="008A147E"/>
    <w:rsid w:val="00F5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4CEF1-0DE2-45B9-B921-49ACD605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7941</Words>
  <Characters>4527</Characters>
  <Application>Microsoft Office Word</Application>
  <DocSecurity>0</DocSecurity>
  <Lines>37</Lines>
  <Paragraphs>24</Paragraphs>
  <ScaleCrop>false</ScaleCrop>
  <Company/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Admin</cp:lastModifiedBy>
  <cp:revision>2</cp:revision>
  <dcterms:created xsi:type="dcterms:W3CDTF">2023-11-16T09:43:00Z</dcterms:created>
  <dcterms:modified xsi:type="dcterms:W3CDTF">2023-11-16T09:43:00Z</dcterms:modified>
</cp:coreProperties>
</file>